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EF9" w:rsidRDefault="00E268DD">
      <w:pPr>
        <w:pStyle w:val="Heading1"/>
        <w:spacing w:after="0"/>
        <w:jc w:val="left"/>
      </w:pPr>
      <w:bookmarkStart w:id="0" w:name="_GoBack"/>
      <w:bookmarkEnd w:id="0"/>
      <w:r>
        <w:rPr>
          <w:noProof/>
        </w:rPr>
        <w:drawing>
          <wp:inline distT="0" distB="0" distL="114300" distR="114300">
            <wp:extent cx="1238885" cy="666115"/>
            <wp:effectExtent l="0" t="0" r="0" b="0"/>
            <wp:docPr id="1028" name="image1.png" descr="Logo - Both"/>
            <wp:cNvGraphicFramePr/>
            <a:graphic xmlns:a="http://schemas.openxmlformats.org/drawingml/2006/main">
              <a:graphicData uri="http://schemas.openxmlformats.org/drawingml/2006/picture">
                <pic:pic xmlns:pic="http://schemas.openxmlformats.org/drawingml/2006/picture">
                  <pic:nvPicPr>
                    <pic:cNvPr id="0" name="image1.png" descr="Logo - Both"/>
                    <pic:cNvPicPr preferRelativeResize="0"/>
                  </pic:nvPicPr>
                  <pic:blipFill>
                    <a:blip r:embed="rId8"/>
                    <a:srcRect/>
                    <a:stretch>
                      <a:fillRect/>
                    </a:stretch>
                  </pic:blipFill>
                  <pic:spPr>
                    <a:xfrm>
                      <a:off x="0" y="0"/>
                      <a:ext cx="1238885" cy="666115"/>
                    </a:xfrm>
                    <a:prstGeom prst="rect">
                      <a:avLst/>
                    </a:prstGeom>
                    <a:ln/>
                  </pic:spPr>
                </pic:pic>
              </a:graphicData>
            </a:graphic>
          </wp:inline>
        </w:drawing>
      </w:r>
    </w:p>
    <w:p w:rsidR="005A3EF9" w:rsidRDefault="00E268DD">
      <w:pPr>
        <w:pStyle w:val="Heading1"/>
        <w:spacing w:after="0"/>
        <w:jc w:val="left"/>
      </w:pPr>
      <w:r>
        <w:rPr>
          <w:noProof/>
        </w:rPr>
        <mc:AlternateContent>
          <mc:Choice Requires="wpg">
            <w:drawing>
              <wp:anchor distT="0" distB="0" distL="114300" distR="114300" simplePos="0" relativeHeight="251658240" behindDoc="0" locked="0" layoutInCell="1" hidden="0" allowOverlap="1">
                <wp:simplePos x="0" y="0"/>
                <wp:positionH relativeFrom="page">
                  <wp:posOffset>811213</wp:posOffset>
                </wp:positionH>
                <wp:positionV relativeFrom="topMargin">
                  <wp:posOffset>2008188</wp:posOffset>
                </wp:positionV>
                <wp:extent cx="5884545" cy="1150291"/>
                <wp:effectExtent l="0" t="0" r="0" b="0"/>
                <wp:wrapSquare wrapText="bothSides" distT="0" distB="0" distL="114300" distR="114300"/>
                <wp:docPr id="1027" name="Group 1027"/>
                <wp:cNvGraphicFramePr/>
                <a:graphic xmlns:a="http://schemas.openxmlformats.org/drawingml/2006/main">
                  <a:graphicData uri="http://schemas.microsoft.com/office/word/2010/wordprocessingGroup">
                    <wpg:wgp>
                      <wpg:cNvGrpSpPr/>
                      <wpg:grpSpPr>
                        <a:xfrm>
                          <a:off x="0" y="0"/>
                          <a:ext cx="5884545" cy="1150291"/>
                          <a:chOff x="2403625" y="3210025"/>
                          <a:chExt cx="5884750" cy="1139950"/>
                        </a:xfrm>
                      </wpg:grpSpPr>
                      <wps:wsp>
                        <wps:cNvPr id="1" name="Rectangle 1"/>
                        <wps:cNvSpPr/>
                        <wps:spPr>
                          <a:xfrm>
                            <a:off x="2408400" y="3214800"/>
                            <a:ext cx="5875200" cy="11304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A3EF9" w:rsidRDefault="00E268DD">
                              <w:pPr>
                                <w:spacing w:before="240"/>
                                <w:textDirection w:val="btLr"/>
                              </w:pPr>
                              <w:r>
                                <w:rPr>
                                  <w:color w:val="000000"/>
                                </w:rPr>
                                <w:t xml:space="preserve">Agreed by Directors </w:t>
                              </w:r>
                              <w:r>
                                <w:rPr>
                                  <w:color w:val="000000"/>
                                </w:rPr>
                                <w:tab/>
                                <w:t>Ruth Coleman</w:t>
                              </w:r>
                            </w:p>
                            <w:p w:rsidR="005A3EF9" w:rsidRDefault="00E268DD">
                              <w:pPr>
                                <w:textDirection w:val="btLr"/>
                              </w:pPr>
                              <w:r>
                                <w:rPr>
                                  <w:color w:val="000000"/>
                                </w:rPr>
                                <w:t xml:space="preserve">Signature:  </w:t>
                              </w:r>
                            </w:p>
                            <w:p w:rsidR="005A3EF9" w:rsidRDefault="005A3EF9">
                              <w:pPr>
                                <w:textDirection w:val="btLr"/>
                              </w:pPr>
                            </w:p>
                            <w:p w:rsidR="005A3EF9" w:rsidRDefault="005A3EF9">
                              <w:pPr>
                                <w:textDirection w:val="btLr"/>
                              </w:pPr>
                            </w:p>
                          </w:txbxContent>
                        </wps:txbx>
                        <wps:bodyPr spcFirstLastPara="1" wrap="square" lIns="91425" tIns="45700" rIns="91425" bIns="45700" anchor="t" anchorCtr="0">
                          <a:noAutofit/>
                        </wps:bodyPr>
                      </wps:wsp>
                      <pic:pic xmlns:pic="http://schemas.openxmlformats.org/drawingml/2006/picture">
                        <pic:nvPicPr>
                          <pic:cNvPr id="3" name="Shape 3"/>
                          <pic:cNvPicPr preferRelativeResize="0"/>
                        </pic:nvPicPr>
                        <pic:blipFill>
                          <a:blip r:embed="rId9">
                            <a:alphaModFix/>
                          </a:blip>
                          <a:stretch>
                            <a:fillRect/>
                          </a:stretch>
                        </pic:blipFill>
                        <pic:spPr>
                          <a:xfrm>
                            <a:off x="3309425" y="3617225"/>
                            <a:ext cx="1871850" cy="542100"/>
                          </a:xfrm>
                          <a:prstGeom prst="rect">
                            <a:avLst/>
                          </a:prstGeom>
                          <a:noFill/>
                          <a:ln>
                            <a:noFill/>
                          </a:ln>
                        </pic:spPr>
                      </pic:pic>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811213</wp:posOffset>
                </wp:positionH>
                <wp:positionV relativeFrom="topMargin">
                  <wp:posOffset>2008188</wp:posOffset>
                </wp:positionV>
                <wp:extent cx="5884545" cy="1150291"/>
                <wp:effectExtent b="0" l="0" r="0" t="0"/>
                <wp:wrapSquare wrapText="bothSides" distB="0" distT="0" distL="114300" distR="114300"/>
                <wp:docPr id="1027"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5884545" cy="1150291"/>
                        </a:xfrm>
                        <a:prstGeom prst="rect"/>
                        <a:ln/>
                      </pic:spPr>
                    </pic:pic>
                  </a:graphicData>
                </a:graphic>
              </wp:anchor>
            </w:drawing>
          </mc:Fallback>
        </mc:AlternateContent>
      </w:r>
    </w:p>
    <w:p w:rsidR="005A3EF9" w:rsidRDefault="005A3EF9">
      <w:pPr>
        <w:pStyle w:val="Heading1"/>
        <w:spacing w:after="0"/>
      </w:pPr>
    </w:p>
    <w:p w:rsidR="005A3EF9" w:rsidRDefault="005A3EF9">
      <w:pPr>
        <w:pStyle w:val="Heading1"/>
        <w:spacing w:after="0"/>
        <w:rPr>
          <w:b w:val="0"/>
          <w:bCs w:val="0"/>
          <w:color w:val="000000"/>
        </w:rPr>
      </w:pPr>
    </w:p>
    <w:p w:rsidR="005A3EF9" w:rsidRDefault="005A3EF9">
      <w:pPr>
        <w:pStyle w:val="Heading1"/>
        <w:spacing w:after="0"/>
        <w:jc w:val="left"/>
        <w:rPr>
          <w:b w:val="0"/>
          <w:bCs w:val="0"/>
          <w:color w:val="000000"/>
        </w:rPr>
      </w:pPr>
    </w:p>
    <w:p w:rsidR="005A3EF9" w:rsidRDefault="005A3EF9">
      <w:pPr>
        <w:keepNext/>
        <w:pBdr>
          <w:top w:val="nil"/>
          <w:left w:val="nil"/>
          <w:bottom w:val="nil"/>
          <w:right w:val="nil"/>
          <w:between w:val="nil"/>
        </w:pBdr>
        <w:spacing w:after="240"/>
        <w:rPr>
          <w:rFonts w:ascii="Calibri" w:eastAsia="Calibri" w:hAnsi="Calibri" w:cs="Calibri"/>
          <w:color w:val="000000"/>
        </w:rPr>
      </w:pPr>
    </w:p>
    <w:p w:rsidR="005A3EF9" w:rsidRDefault="00E268DD">
      <w:pPr>
        <w:pStyle w:val="Heading1"/>
        <w:spacing w:after="0"/>
        <w:rPr>
          <w:b w:val="0"/>
          <w:bCs w:val="0"/>
          <w:color w:val="000000"/>
        </w:rPr>
      </w:pPr>
      <w:r>
        <w:rPr>
          <w:b w:val="0"/>
          <w:bCs w:val="0"/>
          <w:color w:val="000000"/>
        </w:rPr>
        <w:t xml:space="preserve">Whistleblowing Policy Procedure </w:t>
      </w:r>
    </w:p>
    <w:p w:rsidR="005A3EF9" w:rsidRDefault="005A3EF9">
      <w:pPr>
        <w:pBdr>
          <w:top w:val="nil"/>
          <w:left w:val="nil"/>
          <w:bottom w:val="nil"/>
          <w:right w:val="nil"/>
          <w:between w:val="nil"/>
        </w:pBdr>
        <w:spacing w:after="240"/>
        <w:ind w:left="720" w:hanging="720"/>
        <w:rPr>
          <w:rFonts w:ascii="Calibri" w:eastAsia="Calibri" w:hAnsi="Calibri" w:cs="Calibri"/>
          <w:color w:val="000000"/>
        </w:rPr>
      </w:pP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Highfield Directors have a responsibility to ensure that our Company is managed to the highest standards, and that our decision making and administration is conducted in such a way as to be above any suspicion of malpractice.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Clear policies, standards and procedures for making decisions, particularly those which entail significant expenditure, or decisions which significantly affect employment at the company are essential elements in creating and sustaining an atmosphere of ope</w:t>
      </w:r>
      <w:r>
        <w:rPr>
          <w:rFonts w:ascii="Calibri" w:eastAsia="Calibri" w:hAnsi="Calibri" w:cs="Calibri"/>
          <w:color w:val="000000"/>
        </w:rPr>
        <w:t>nness and trust in company management.  Such an atmosphere is the best way of forestalling suspicion or complaint.</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Staff that raise concerns about malpractice within their place of work have statutory protection against victimisation for making such a disc</w:t>
      </w:r>
      <w:r>
        <w:rPr>
          <w:rFonts w:ascii="Calibri" w:eastAsia="Calibri" w:hAnsi="Calibri" w:cs="Calibri"/>
          <w:color w:val="000000"/>
        </w:rPr>
        <w:t>losure, under the Public Interest Disclosure Act 1998, and the subsequent Enterprise and Regulatory Reform Act, which was enacted in June 2013.  The worker must reasonably believe the disclosure to be in the public interest, and it must otherwise qualify a</w:t>
      </w:r>
      <w:r>
        <w:rPr>
          <w:rFonts w:ascii="Calibri" w:eastAsia="Calibri" w:hAnsi="Calibri" w:cs="Calibri"/>
          <w:color w:val="000000"/>
        </w:rPr>
        <w:t xml:space="preserve">s a protected act (see section 4 for more detail on the criteria.) </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This procedure has been subject to consultation with all recognised trade unions.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Liability</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Employers are now liable for any detriment a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suffers as a result of having made a </w:t>
      </w:r>
      <w:r>
        <w:rPr>
          <w:rFonts w:ascii="Calibri" w:eastAsia="Calibri" w:hAnsi="Calibri" w:cs="Calibri"/>
          <w:color w:val="000000"/>
        </w:rPr>
        <w:t>disclosure, if the detriment was done by another worker in the course of employment (even if was without the employer’s knowledge), or by an agent of the employer (with the employer’s authority).  This is balanced by the new ability for an employer to defe</w:t>
      </w:r>
      <w:r>
        <w:rPr>
          <w:rFonts w:ascii="Calibri" w:eastAsia="Calibri" w:hAnsi="Calibri" w:cs="Calibri"/>
          <w:color w:val="000000"/>
        </w:rPr>
        <w:t>nd itself by showing that it took all reasonable steps to prevent the detriment from occurring.  This includes having a policy on whistleblowing, ensuring staff are aware of it, and that it is followed when cases arise.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Individuals can also be found legall</w:t>
      </w:r>
      <w:r>
        <w:rPr>
          <w:rFonts w:ascii="Calibri" w:eastAsia="Calibri" w:hAnsi="Calibri" w:cs="Calibri"/>
          <w:color w:val="000000"/>
        </w:rPr>
        <w:t xml:space="preserve">y liable </w:t>
      </w:r>
      <w:r>
        <w:rPr>
          <w:rFonts w:ascii="Calibri" w:eastAsia="Calibri" w:hAnsi="Calibri" w:cs="Calibri"/>
        </w:rPr>
        <w:t>for the detriment</w:t>
      </w:r>
      <w:r>
        <w:rPr>
          <w:rFonts w:ascii="Calibri" w:eastAsia="Calibri" w:hAnsi="Calibri" w:cs="Calibri"/>
          <w:color w:val="000000"/>
        </w:rPr>
        <w:t xml:space="preserve"> they caused a </w:t>
      </w:r>
      <w:proofErr w:type="spellStart"/>
      <w:r>
        <w:rPr>
          <w:rFonts w:ascii="Calibri" w:eastAsia="Calibri" w:hAnsi="Calibri" w:cs="Calibri"/>
          <w:color w:val="000000"/>
        </w:rPr>
        <w:t>whistleblower</w:t>
      </w:r>
      <w:proofErr w:type="spellEnd"/>
      <w:r>
        <w:rPr>
          <w:rFonts w:ascii="Calibri" w:eastAsia="Calibri" w:hAnsi="Calibri" w:cs="Calibri"/>
          <w:color w:val="000000"/>
        </w:rPr>
        <w:t>, unless they can show they have acted in response to a statement from the employer, which it was reasonable to rely upon.</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 xml:space="preserve">Why do we have a Whistleblowing </w:t>
      </w:r>
      <w:proofErr w:type="gramStart"/>
      <w:r>
        <w:rPr>
          <w:rFonts w:ascii="Calibri" w:eastAsia="Calibri" w:hAnsi="Calibri" w:cs="Calibri"/>
          <w:b/>
          <w:bCs/>
          <w:i/>
          <w:iCs/>
          <w:color w:val="000000"/>
        </w:rPr>
        <w:t>policy</w:t>
      </w:r>
      <w:proofErr w:type="gramEnd"/>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lastRenderedPageBreak/>
        <w:t>Highfield Children Centre Company is com</w:t>
      </w:r>
      <w:r>
        <w:rPr>
          <w:rFonts w:ascii="Calibri" w:eastAsia="Calibri" w:hAnsi="Calibri" w:cs="Calibri"/>
          <w:color w:val="000000"/>
        </w:rPr>
        <w:t>mitted to promoting and maintaining the highest standards in the management and administration of its affairs.  Highfield Company makes all staff under their control aware of it.</w:t>
      </w:r>
    </w:p>
    <w:p w:rsidR="005A3EF9" w:rsidRDefault="00E268DD">
      <w:pPr>
        <w:pBdr>
          <w:top w:val="nil"/>
          <w:left w:val="nil"/>
          <w:bottom w:val="nil"/>
          <w:right w:val="nil"/>
          <w:between w:val="nil"/>
        </w:pBdr>
        <w:spacing w:after="240"/>
        <w:ind w:left="720" w:hanging="720"/>
        <w:rPr>
          <w:rFonts w:ascii="Calibri" w:eastAsia="Calibri" w:hAnsi="Calibri" w:cs="Calibri"/>
          <w:color w:val="002060"/>
        </w:rPr>
      </w:pPr>
      <w:r>
        <w:rPr>
          <w:rFonts w:ascii="Calibri" w:eastAsia="Calibri" w:hAnsi="Calibri" w:cs="Calibri"/>
          <w:color w:val="000000"/>
        </w:rPr>
        <w:t>By the adoption and publication of this procedure we may demonstrate our commitment to high standards of conduct in our affairs and establish a basis on which any worker can properly raise concerns without prejudice to his/her personal position.</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Scope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This</w:t>
      </w:r>
      <w:r>
        <w:rPr>
          <w:rFonts w:ascii="Calibri" w:eastAsia="Calibri" w:hAnsi="Calibri" w:cs="Calibri"/>
          <w:color w:val="000000"/>
        </w:rPr>
        <w:t xml:space="preserve"> procedure applies to all staff.</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An employee working within our company but employed on another organisation’s terms and conditions of employment should have the matter managed under their appropriate policy/procedure.</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Purpose of the procedure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The purpose </w:t>
      </w:r>
      <w:r>
        <w:rPr>
          <w:rFonts w:ascii="Calibri" w:eastAsia="Calibri" w:hAnsi="Calibri" w:cs="Calibri"/>
          <w:color w:val="000000"/>
        </w:rPr>
        <w:t>of this procedure is to encourage any worker who has a concern that practices in their company do not meet the required standards of probity to raise that concern at an appropriate level and in an appropriate manner.</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This procedure is also intended to guid</w:t>
      </w:r>
      <w:r>
        <w:rPr>
          <w:rFonts w:ascii="Calibri" w:eastAsia="Calibri" w:hAnsi="Calibri" w:cs="Calibri"/>
          <w:color w:val="000000"/>
        </w:rPr>
        <w:t xml:space="preserve">e any worker who has a disclosure to make about malpractice in their company in making that disclosure.  It sets out to whom malpractice (or suspected malpractice) should be reported, and how it should be reported. </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The procedure also sets out the safeguar</w:t>
      </w:r>
      <w:r>
        <w:rPr>
          <w:rFonts w:ascii="Calibri" w:eastAsia="Calibri" w:hAnsi="Calibri" w:cs="Calibri"/>
          <w:color w:val="000000"/>
        </w:rPr>
        <w:t>ds that the Company will offer to any worker who makes a disclosure in the recommended way.</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Definitions and exclusions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Who do the protections apply to</w:t>
      </w:r>
      <w:r>
        <w:rPr>
          <w:rFonts w:ascii="Calibri" w:eastAsia="Calibri" w:hAnsi="Calibri" w:cs="Calibri"/>
          <w:i/>
          <w:iCs/>
          <w:color w:val="000000"/>
        </w:rPr>
        <w:t>?</w:t>
      </w:r>
    </w:p>
    <w:p w:rsidR="005A3EF9" w:rsidRDefault="00E268DD">
      <w:pPr>
        <w:keepLines/>
        <w:pBdr>
          <w:top w:val="nil"/>
          <w:left w:val="nil"/>
          <w:bottom w:val="nil"/>
          <w:right w:val="nil"/>
          <w:between w:val="nil"/>
        </w:pBdr>
        <w:spacing w:after="240"/>
        <w:ind w:left="720" w:hanging="720"/>
        <w:rPr>
          <w:rFonts w:ascii="Calibri" w:eastAsia="Calibri" w:hAnsi="Calibri" w:cs="Calibri"/>
          <w:color w:val="000000"/>
        </w:rPr>
      </w:pP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do not need a qualifying period of service to bring a claim of unfair dismissal: in other words, staff are protected as soon as they join the organisation.  Tribunals are also not restricted by the usual upper limit on compensation.  These t</w:t>
      </w:r>
      <w:r>
        <w:rPr>
          <w:rFonts w:ascii="Calibri" w:eastAsia="Calibri" w:hAnsi="Calibri" w:cs="Calibri"/>
          <w:color w:val="000000"/>
        </w:rPr>
        <w:t>wo facts can mean that sometimes whistleblowing claims are used tactically.</w:t>
      </w:r>
    </w:p>
    <w:p w:rsidR="005A3EF9" w:rsidRDefault="00E268DD">
      <w:pPr>
        <w:keepLines/>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Protection is afforded to workers as well as employees; this includes staff on casual contracts, freelance workers, seconded workers, trainees and agency workers.</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t xml:space="preserve">Protection from detriment also applies to ex-employees making disclosures after the termination of their employment.  </w:t>
      </w:r>
    </w:p>
    <w:p w:rsidR="005A3EF9" w:rsidRDefault="00E268DD">
      <w:pPr>
        <w:pBdr>
          <w:top w:val="nil"/>
          <w:left w:val="nil"/>
          <w:bottom w:val="nil"/>
          <w:right w:val="nil"/>
          <w:between w:val="nil"/>
        </w:pBdr>
        <w:spacing w:after="240"/>
        <w:ind w:left="720"/>
        <w:rPr>
          <w:rFonts w:ascii="Calibri" w:eastAsia="Calibri" w:hAnsi="Calibri" w:cs="Calibri"/>
          <w:color w:val="262626"/>
        </w:rPr>
      </w:pPr>
      <w:r>
        <w:rPr>
          <w:rFonts w:ascii="Calibri" w:eastAsia="Calibri" w:hAnsi="Calibri" w:cs="Calibri"/>
          <w:color w:val="000000"/>
        </w:rPr>
        <w:t xml:space="preserve">Furthermore, the Government has indicated the protections may be extended to job applicants, which will prevent </w:t>
      </w:r>
      <w:r>
        <w:rPr>
          <w:rFonts w:ascii="Calibri" w:eastAsia="Calibri" w:hAnsi="Calibri" w:cs="Calibri"/>
          <w:color w:val="262626"/>
        </w:rPr>
        <w:t>organisations from blacklisting applicants because they have made protected disclosures against previous employers</w:t>
      </w:r>
      <w:r>
        <w:rPr>
          <w:rFonts w:ascii="Calibri" w:eastAsia="Calibri" w:hAnsi="Calibri" w:cs="Calibri"/>
          <w:color w:val="000000"/>
        </w:rPr>
        <w:t>.  This is dependent upon the outcome of a Call for Evidence by the Government</w:t>
      </w:r>
      <w:r>
        <w:rPr>
          <w:rFonts w:ascii="Calibri" w:eastAsia="Calibri" w:hAnsi="Calibri" w:cs="Calibri"/>
          <w:color w:val="262626"/>
        </w:rPr>
        <w:t>.</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What should a concern be about, in terms of the criteria for q</w:t>
      </w:r>
      <w:r>
        <w:rPr>
          <w:rFonts w:ascii="Calibri" w:eastAsia="Calibri" w:hAnsi="Calibri" w:cs="Calibri"/>
          <w:b/>
          <w:bCs/>
          <w:i/>
          <w:iCs/>
          <w:color w:val="000000"/>
        </w:rPr>
        <w:t>ualifying disclosures?</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t>The term “malpractice” may cover a broad range of acts, omissions, or practices. Workers will usually report specific instance(s) of wrongdoing by individual(s).  In certain circumstances, workers may report bad practice which, if it</w:t>
      </w:r>
      <w:r>
        <w:rPr>
          <w:rFonts w:ascii="Calibri" w:eastAsia="Calibri" w:hAnsi="Calibri" w:cs="Calibri"/>
          <w:color w:val="000000"/>
        </w:rPr>
        <w:t xml:space="preserve"> were to continue, would be likely to lead to wrongdoing</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lastRenderedPageBreak/>
        <w:t xml:space="preserve">The Public Interest Disclosure Act 1998 and Enterprise and Regulatory Reform Act 2013 protect workers who make qualifying disclosures from any detriment as a result of making a disclosure.  </w:t>
      </w:r>
    </w:p>
    <w:p w:rsidR="005A3EF9" w:rsidRDefault="00E268DD">
      <w:pPr>
        <w:pBdr>
          <w:top w:val="nil"/>
          <w:left w:val="nil"/>
          <w:bottom w:val="nil"/>
          <w:right w:val="nil"/>
          <w:between w:val="nil"/>
        </w:pBdr>
        <w:spacing w:after="120"/>
        <w:ind w:firstLine="720"/>
        <w:rPr>
          <w:rFonts w:ascii="Calibri" w:eastAsia="Calibri" w:hAnsi="Calibri" w:cs="Calibri"/>
          <w:color w:val="000000"/>
        </w:rPr>
      </w:pPr>
      <w:r>
        <w:rPr>
          <w:rFonts w:ascii="Calibri" w:eastAsia="Calibri" w:hAnsi="Calibri" w:cs="Calibri"/>
          <w:color w:val="000000"/>
        </w:rPr>
        <w:t>A qualif</w:t>
      </w:r>
      <w:r>
        <w:rPr>
          <w:rFonts w:ascii="Calibri" w:eastAsia="Calibri" w:hAnsi="Calibri" w:cs="Calibri"/>
          <w:color w:val="000000"/>
        </w:rPr>
        <w:t>ying disclosure must relate to:</w:t>
      </w:r>
    </w:p>
    <w:p w:rsidR="005A3EF9" w:rsidRDefault="00E268DD">
      <w:pPr>
        <w:keepNext/>
        <w:numPr>
          <w:ilvl w:val="0"/>
          <w:numId w:val="3"/>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a criminal offence;</w:t>
      </w:r>
    </w:p>
    <w:p w:rsidR="005A3EF9" w:rsidRDefault="00E268DD">
      <w:pPr>
        <w:keepNext/>
        <w:numPr>
          <w:ilvl w:val="0"/>
          <w:numId w:val="3"/>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a failure to comply with any legal obligation;</w:t>
      </w:r>
    </w:p>
    <w:p w:rsidR="005A3EF9" w:rsidRDefault="00E268DD">
      <w:pPr>
        <w:keepNext/>
        <w:numPr>
          <w:ilvl w:val="0"/>
          <w:numId w:val="3"/>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a miscarriage of justice;</w:t>
      </w:r>
    </w:p>
    <w:p w:rsidR="005A3EF9" w:rsidRDefault="00E268DD">
      <w:pPr>
        <w:keepNext/>
        <w:numPr>
          <w:ilvl w:val="0"/>
          <w:numId w:val="3"/>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danger to health and safety of any individual;</w:t>
      </w:r>
    </w:p>
    <w:p w:rsidR="005A3EF9" w:rsidRDefault="00E268DD">
      <w:pPr>
        <w:keepNext/>
        <w:numPr>
          <w:ilvl w:val="0"/>
          <w:numId w:val="3"/>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damage to the environment;</w:t>
      </w:r>
    </w:p>
    <w:p w:rsidR="005A3EF9" w:rsidRDefault="00E268DD">
      <w:pPr>
        <w:keepNext/>
        <w:numPr>
          <w:ilvl w:val="0"/>
          <w:numId w:val="3"/>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 attempt to cover up any of these.</w:t>
      </w:r>
    </w:p>
    <w:p w:rsidR="005A3EF9" w:rsidRDefault="00E268DD">
      <w:pPr>
        <w:pBdr>
          <w:top w:val="nil"/>
          <w:left w:val="nil"/>
          <w:bottom w:val="nil"/>
          <w:right w:val="nil"/>
          <w:between w:val="nil"/>
        </w:pBdr>
        <w:spacing w:after="120"/>
        <w:ind w:left="720" w:hanging="720"/>
        <w:rPr>
          <w:rFonts w:ascii="Calibri" w:eastAsia="Calibri" w:hAnsi="Calibri" w:cs="Calibri"/>
          <w:color w:val="000000"/>
        </w:rPr>
      </w:pPr>
      <w:r>
        <w:rPr>
          <w:rFonts w:ascii="Calibri" w:eastAsia="Calibri" w:hAnsi="Calibri" w:cs="Calibri"/>
          <w:color w:val="000000"/>
        </w:rPr>
        <w:t>In a Company, concerns may often (but by no means always) centre upon appropriate use of funding.  For instance, the following would normally be an inappropriate use of budget:</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disregard of proper tendering procedure for contracts;</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manipulation or falsification of accounting records;</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making decisions for personal gain;</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inappropriate (e.g. private) use of Company assets</w:t>
      </w:r>
    </w:p>
    <w:p w:rsidR="005A3EF9" w:rsidRDefault="00E268DD">
      <w:pPr>
        <w:pBdr>
          <w:top w:val="nil"/>
          <w:left w:val="nil"/>
          <w:bottom w:val="nil"/>
          <w:right w:val="nil"/>
          <w:between w:val="nil"/>
        </w:pBdr>
        <w:spacing w:after="240"/>
        <w:ind w:left="720" w:hanging="357"/>
        <w:rPr>
          <w:rFonts w:ascii="Calibri" w:eastAsia="Calibri" w:hAnsi="Calibri" w:cs="Calibri"/>
          <w:color w:val="000000"/>
        </w:rPr>
      </w:pPr>
      <w:r>
        <w:rPr>
          <w:rFonts w:ascii="Calibri" w:eastAsia="Calibri" w:hAnsi="Calibri" w:cs="Calibri"/>
          <w:color w:val="000000"/>
        </w:rPr>
        <w:t>Other, non-financial, concerns may include inappropriate use of Company premises or inappropriate professional relat</w:t>
      </w:r>
      <w:r>
        <w:rPr>
          <w:rFonts w:ascii="Calibri" w:eastAsia="Calibri" w:hAnsi="Calibri" w:cs="Calibri"/>
          <w:color w:val="000000"/>
        </w:rPr>
        <w:t>ionships which potentially affect the good management of the Company.</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t>The Enterprise and Regulatory Reform Act introduces the need for disclosures to be “in the public interest”, removing the need for them to have been made in good faith.  However, as there is no legal definition of “public interest”, it will remain to be de</w:t>
      </w:r>
      <w:r>
        <w:rPr>
          <w:rFonts w:ascii="Calibri" w:eastAsia="Calibri" w:hAnsi="Calibri" w:cs="Calibri"/>
          <w:color w:val="000000"/>
        </w:rPr>
        <w:t xml:space="preserve">cided in individual cases.  Disclosures relating to the worker’s own contract will usually fall outside of whistleblowing, and should instead be followed up via grievance procedures. </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t>If a tribunal believes a successful disclosure was made in bad faith, co</w:t>
      </w:r>
      <w:r>
        <w:rPr>
          <w:rFonts w:ascii="Calibri" w:eastAsia="Calibri" w:hAnsi="Calibri" w:cs="Calibri"/>
          <w:color w:val="000000"/>
        </w:rPr>
        <w:t>mpensation can be reduced by up to 25%.  In practice this means workers may now bring claims maliciously or for personal gain but still be protected, if they are able to meet the public interest criteria.</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t xml:space="preserve">To be afforded protection, workers must also raise </w:t>
      </w:r>
      <w:r>
        <w:rPr>
          <w:rFonts w:ascii="Calibri" w:eastAsia="Calibri" w:hAnsi="Calibri" w:cs="Calibri"/>
          <w:color w:val="000000"/>
        </w:rPr>
        <w:t xml:space="preserve">their concerns in the proper way. Usually, in the first instance, this should be via internal processes.  In certain cases, the Act also protects disclosure to “prescribed regulators” such as the Audit Commission.  </w:t>
      </w:r>
    </w:p>
    <w:p w:rsidR="005A3EF9" w:rsidRDefault="00E268DD">
      <w:pPr>
        <w:pBdr>
          <w:top w:val="nil"/>
          <w:left w:val="nil"/>
          <w:bottom w:val="nil"/>
          <w:right w:val="nil"/>
          <w:between w:val="nil"/>
        </w:pBdr>
        <w:spacing w:after="240"/>
        <w:ind w:left="720"/>
        <w:rPr>
          <w:rFonts w:ascii="Calibri" w:eastAsia="Calibri" w:hAnsi="Calibri" w:cs="Calibri"/>
          <w:color w:val="000000"/>
        </w:rPr>
      </w:pPr>
      <w:r>
        <w:rPr>
          <w:rFonts w:ascii="Calibri" w:eastAsia="Calibri" w:hAnsi="Calibri" w:cs="Calibri"/>
          <w:color w:val="000000"/>
        </w:rPr>
        <w:t>The Act only protects wider disclosure (</w:t>
      </w:r>
      <w:r>
        <w:rPr>
          <w:rFonts w:ascii="Calibri" w:eastAsia="Calibri" w:hAnsi="Calibri" w:cs="Calibri"/>
          <w:color w:val="000000"/>
        </w:rPr>
        <w:t>e.g., to the media, an MP, etc.) if:</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the worker reasonably believed they would be victimised if they had raised the matter internally or with a prescribed regulator;</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there was no prescribed regulator and they reasonably believed the evidence would be concealed;</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the concern had already been raised with the employer or prescribed regulator;</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the concern was exceptionally serious;</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and no payment was accepted for the story.</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 xml:space="preserve">What kinds of </w:t>
      </w:r>
      <w:r>
        <w:rPr>
          <w:rFonts w:ascii="Calibri" w:eastAsia="Calibri" w:hAnsi="Calibri" w:cs="Calibri"/>
          <w:b/>
          <w:bCs/>
          <w:i/>
          <w:iCs/>
        </w:rPr>
        <w:t>detriments</w:t>
      </w:r>
      <w:r>
        <w:rPr>
          <w:rFonts w:ascii="Calibri" w:eastAsia="Calibri" w:hAnsi="Calibri" w:cs="Calibri"/>
          <w:b/>
          <w:bCs/>
          <w:i/>
          <w:iCs/>
          <w:color w:val="000000"/>
        </w:rPr>
        <w:t xml:space="preserve"> are workers protected from?  </w:t>
      </w:r>
    </w:p>
    <w:p w:rsidR="005A3EF9" w:rsidRDefault="00E268DD">
      <w:pPr>
        <w:pBdr>
          <w:top w:val="nil"/>
          <w:left w:val="nil"/>
          <w:bottom w:val="nil"/>
          <w:right w:val="nil"/>
          <w:between w:val="nil"/>
        </w:pBdr>
        <w:spacing w:after="120"/>
        <w:ind w:left="720"/>
        <w:rPr>
          <w:rFonts w:ascii="Calibri" w:eastAsia="Calibri" w:hAnsi="Calibri" w:cs="Calibri"/>
          <w:color w:val="000000"/>
        </w:rPr>
      </w:pPr>
      <w:r>
        <w:rPr>
          <w:rFonts w:ascii="Calibri" w:eastAsia="Calibri" w:hAnsi="Calibri" w:cs="Calibri"/>
          <w:color w:val="000000"/>
        </w:rPr>
        <w:lastRenderedPageBreak/>
        <w:t xml:space="preserve">The kinds of detriment that could be suffered by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will depend on whether they are job applicants, existing members of staff, or ex-members of staff.  Some examples of detriment linked to a protected disclosure are:</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harassment and bullying,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i</w:t>
      </w:r>
      <w:r>
        <w:rPr>
          <w:rFonts w:ascii="Calibri" w:eastAsia="Calibri" w:hAnsi="Calibri" w:cs="Calibri"/>
          <w:color w:val="000000"/>
        </w:rPr>
        <w:t xml:space="preserve">nappropriate disciplinary action,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loss of work or pay,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damage to career prospects,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providing poor references,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defamation,</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inappropriately referring them to external organisations for audit or scrutiny,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not considering them for a role if they re-apply,</w:t>
      </w:r>
      <w:r>
        <w:rPr>
          <w:rFonts w:ascii="Calibri" w:eastAsia="Calibri" w:hAnsi="Calibri" w:cs="Calibri"/>
          <w:color w:val="000000"/>
        </w:rPr>
        <w:t xml:space="preserve"> </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Dismissal or selection for redundancy because of making a qualifying disclosure.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Other relevant guidance and procedures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Complaints by workers about their personal treatment or the way in which employment policies and practices have been applied to them should be raised via the grievance procedure or other appropriate procedure.  Complaints about the protection of children s</w:t>
      </w:r>
      <w:r>
        <w:rPr>
          <w:rFonts w:ascii="Calibri" w:eastAsia="Calibri" w:hAnsi="Calibri" w:cs="Calibri"/>
          <w:color w:val="000000"/>
        </w:rPr>
        <w:t>hould normally be raised under the separate procedures designated for that purpose, unless those procedures have not been sufficiently enacted.</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Procedure for making a disclosure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The means of making a disclosure will depend to some extent on the nature and </w:t>
      </w:r>
      <w:r>
        <w:rPr>
          <w:rFonts w:ascii="Calibri" w:eastAsia="Calibri" w:hAnsi="Calibri" w:cs="Calibri"/>
          <w:color w:val="000000"/>
        </w:rPr>
        <w:t>seriousness of the concern, the sensitivity of the issues and the individual(s) thought to be involved in the malpractice reported.</w:t>
      </w:r>
    </w:p>
    <w:p w:rsidR="005A3EF9" w:rsidRDefault="00E268DD">
      <w:pPr>
        <w:keepLines/>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Lines of reporting</w:t>
      </w:r>
    </w:p>
    <w:p w:rsidR="005A3EF9" w:rsidRDefault="00E268DD">
      <w:pPr>
        <w:keepLines/>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As a general rule, a worker wishing to make a disclosure should raise the concerns in the first instance with a </w:t>
      </w:r>
      <w:r>
        <w:rPr>
          <w:rFonts w:ascii="Calibri" w:eastAsia="Calibri" w:hAnsi="Calibri" w:cs="Calibri"/>
        </w:rPr>
        <w:t>Director. This</w:t>
      </w:r>
      <w:r>
        <w:rPr>
          <w:rFonts w:ascii="Calibri" w:eastAsia="Calibri" w:hAnsi="Calibri" w:cs="Calibri"/>
          <w:color w:val="000000"/>
        </w:rPr>
        <w:t xml:space="preserve"> is appropriate where the concern is about the conduct or practice of colleagues: a concern that the </w:t>
      </w:r>
      <w:r>
        <w:rPr>
          <w:rFonts w:ascii="Calibri" w:eastAsia="Calibri" w:hAnsi="Calibri" w:cs="Calibri"/>
        </w:rPr>
        <w:t>Company's</w:t>
      </w:r>
      <w:r>
        <w:rPr>
          <w:rFonts w:ascii="Calibri" w:eastAsia="Calibri" w:hAnsi="Calibri" w:cs="Calibri"/>
          <w:color w:val="000000"/>
        </w:rPr>
        <w:t xml:space="preserve"> policies and proced</w:t>
      </w:r>
      <w:r>
        <w:rPr>
          <w:rFonts w:ascii="Calibri" w:eastAsia="Calibri" w:hAnsi="Calibri" w:cs="Calibri"/>
          <w:color w:val="000000"/>
        </w:rPr>
        <w:t>ures are not being properly or fairly applied.  This enables the issue to be addressed at Company level. If the disclosure is around the Directors of the company, then the Chair of school Governors should be informed.</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Process of disclosing</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A disclosure may</w:t>
      </w:r>
      <w:r>
        <w:rPr>
          <w:rFonts w:ascii="Calibri" w:eastAsia="Calibri" w:hAnsi="Calibri" w:cs="Calibri"/>
          <w:color w:val="000000"/>
        </w:rPr>
        <w:t xml:space="preserve"> be made verbally (e.g. by telephone) or in writing.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should normally identify him/her and should make it clear that s/he is making a disclosure within the terms of this procedure.  </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A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raising a concern verbally will normall</w:t>
      </w:r>
      <w:r>
        <w:rPr>
          <w:rFonts w:ascii="Calibri" w:eastAsia="Calibri" w:hAnsi="Calibri" w:cs="Calibri"/>
          <w:color w:val="000000"/>
        </w:rPr>
        <w:t xml:space="preserve">y be expected to support and substantiate those concerns in writing, unless there are special circumstances indicating that this is inappropriate.  If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feels unable to commit their concerns to writing s/he will normally be asked to meet wi</w:t>
      </w:r>
      <w:r>
        <w:rPr>
          <w:rFonts w:ascii="Calibri" w:eastAsia="Calibri" w:hAnsi="Calibri" w:cs="Calibri"/>
          <w:color w:val="000000"/>
        </w:rPr>
        <w:t>th an appropriate person, who will compile a written note of the disclosure.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may be accompanied by a trade union representative or appropriate workplace colleague at meetings that are held for the purpose of formally discussing or investi</w:t>
      </w:r>
      <w:r>
        <w:rPr>
          <w:rFonts w:ascii="Calibri" w:eastAsia="Calibri" w:hAnsi="Calibri" w:cs="Calibri"/>
          <w:color w:val="000000"/>
        </w:rPr>
        <w:t>gating the disclosure.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It is not necessary for a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to produce conclusive evidence to support his/her disclosure. Suspicion may be valid grounds for raising a concern.  However,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should normally have direct information about, or</w:t>
      </w:r>
      <w:r>
        <w:rPr>
          <w:rFonts w:ascii="Calibri" w:eastAsia="Calibri" w:hAnsi="Calibri" w:cs="Calibri"/>
          <w:color w:val="000000"/>
        </w:rPr>
        <w:t xml:space="preserve"> knowledge of, the malpractice alleged, or know where such evidence is located.  </w:t>
      </w:r>
      <w:r>
        <w:rPr>
          <w:rFonts w:ascii="Calibri" w:eastAsia="Calibri" w:hAnsi="Calibri" w:cs="Calibri"/>
          <w:color w:val="000000"/>
        </w:rPr>
        <w:lastRenderedPageBreak/>
        <w:t xml:space="preserve">The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concern should be based on more than hearsay, gossip, or the reports of others.  The disclosure should usually include specific examples of unacceptable be</w:t>
      </w:r>
      <w:r>
        <w:rPr>
          <w:rFonts w:ascii="Calibri" w:eastAsia="Calibri" w:hAnsi="Calibri" w:cs="Calibri"/>
          <w:color w:val="000000"/>
        </w:rPr>
        <w:t>haviour.</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Disclosures should not be made to the press, radio, television or other media.  The recommended internal reporting channels should be used.  Workers have certain rights to report malpractice to specified external agencies, e.g. a worker who suspec</w:t>
      </w:r>
      <w:r>
        <w:rPr>
          <w:rFonts w:ascii="Calibri" w:eastAsia="Calibri" w:hAnsi="Calibri" w:cs="Calibri"/>
          <w:color w:val="000000"/>
        </w:rPr>
        <w:t xml:space="preserve">ts that a criminal act has been committed may inform the police.  However, it is expected that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make disclosures following the reporting lines set out above.</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Responding to a disclosure</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The response to a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disclosure will depend </w:t>
      </w:r>
      <w:r>
        <w:rPr>
          <w:rFonts w:ascii="Calibri" w:eastAsia="Calibri" w:hAnsi="Calibri" w:cs="Calibri"/>
          <w:color w:val="000000"/>
        </w:rPr>
        <w:t xml:space="preserve">on a number of factors such as the seriousness and complexity of the allegations made.  </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Allegations may be:</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investigated within the Company or, HR services, the Directorate for Children and Young People;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referred to the internal or external auditors </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referred to the police;</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referred to another independent form of enquiry;</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 xml:space="preserve">Or any combination of the above. </w:t>
      </w:r>
    </w:p>
    <w:p w:rsidR="005A3EF9" w:rsidRDefault="00E268DD">
      <w:pPr>
        <w:pBdr>
          <w:top w:val="nil"/>
          <w:left w:val="nil"/>
          <w:bottom w:val="nil"/>
          <w:right w:val="nil"/>
          <w:between w:val="nil"/>
        </w:pBdr>
        <w:spacing w:after="240"/>
        <w:ind w:left="720" w:hanging="357"/>
        <w:rPr>
          <w:rFonts w:ascii="Calibri" w:eastAsia="Calibri" w:hAnsi="Calibri" w:cs="Calibri"/>
          <w:color w:val="000000"/>
        </w:rPr>
      </w:pPr>
      <w:r>
        <w:rPr>
          <w:rFonts w:ascii="Calibri" w:eastAsia="Calibri" w:hAnsi="Calibri" w:cs="Calibri"/>
          <w:color w:val="000000"/>
        </w:rPr>
        <w:t>The Company may wish to consider using external independent investigators, though this will in part depend on the complexity of the case.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Disclosures will be subject to initial enquiries in order to decide whether a full investigation is necessary and, if so, what form it should take, who should conduct it, and whether any reference to another agency is necessary or desirable.  Some concerns</w:t>
      </w:r>
      <w:r>
        <w:rPr>
          <w:rFonts w:ascii="Calibri" w:eastAsia="Calibri" w:hAnsi="Calibri" w:cs="Calibri"/>
          <w:color w:val="000000"/>
        </w:rPr>
        <w:t xml:space="preserve"> may be resolved through agreed action without the need for further investigation.</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If the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concern falls within the scope of an alternative procedure, s/he will be advised to pursue it through that procedure.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A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who presents his</w:t>
      </w:r>
      <w:r>
        <w:rPr>
          <w:rFonts w:ascii="Calibri" w:eastAsia="Calibri" w:hAnsi="Calibri" w:cs="Calibri"/>
          <w:color w:val="000000"/>
        </w:rPr>
        <w:t>/her disclosures in writing will, wherever possible within ten working days, receive:</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 acknowledgement that the concern has been raised;</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 indication of how the Company proposes to deal with the matter;</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 estimate of how long it will take to provide a final response;</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 indication of any initial enquiries that have been made; and</w:t>
      </w:r>
    </w:p>
    <w:p w:rsidR="005A3EF9" w:rsidRDefault="00E268DD">
      <w:pPr>
        <w:numPr>
          <w:ilvl w:val="0"/>
          <w:numId w:val="2"/>
        </w:numPr>
        <w:pBdr>
          <w:top w:val="nil"/>
          <w:left w:val="nil"/>
          <w:bottom w:val="nil"/>
          <w:right w:val="nil"/>
          <w:between w:val="nil"/>
        </w:pBdr>
        <w:spacing w:after="240"/>
        <w:rPr>
          <w:rFonts w:ascii="Calibri" w:eastAsia="Calibri" w:hAnsi="Calibri" w:cs="Calibri"/>
          <w:color w:val="000000"/>
        </w:rPr>
      </w:pPr>
      <w:r>
        <w:rPr>
          <w:rFonts w:ascii="Calibri" w:eastAsia="Calibri" w:hAnsi="Calibri" w:cs="Calibri"/>
          <w:color w:val="000000"/>
        </w:rPr>
        <w:t>an indication of whether further investigations will take place and, if not, why not.</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will be informed of th</w:t>
      </w:r>
      <w:r>
        <w:rPr>
          <w:rFonts w:ascii="Calibri" w:eastAsia="Calibri" w:hAnsi="Calibri" w:cs="Calibri"/>
          <w:color w:val="000000"/>
        </w:rPr>
        <w:t xml:space="preserve">e outcome of any investigation in so far as this is compatible with any duty of confidentiality on the employer.  The extent of the information given to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will depend upon a number of factors, e.g. whether the investigation is referred to the </w:t>
      </w:r>
      <w:r>
        <w:rPr>
          <w:rFonts w:ascii="Calibri" w:eastAsia="Calibri" w:hAnsi="Calibri" w:cs="Calibri"/>
          <w:color w:val="000000"/>
        </w:rPr>
        <w:t xml:space="preserve">police and leads to criminal prosecution.  Where an investigation is protracted, it is recommended that the Company or </w:t>
      </w:r>
      <w:r>
        <w:rPr>
          <w:rFonts w:ascii="Calibri" w:eastAsia="Calibri" w:hAnsi="Calibri" w:cs="Calibri"/>
          <w:color w:val="000000"/>
        </w:rPr>
        <w:lastRenderedPageBreak/>
        <w:t xml:space="preserve">relevant officer keep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updated on the progress of the investigation, as silence may lead them to become suspicious of in</w:t>
      </w:r>
      <w:r>
        <w:rPr>
          <w:rFonts w:ascii="Calibri" w:eastAsia="Calibri" w:hAnsi="Calibri" w:cs="Calibri"/>
          <w:color w:val="000000"/>
        </w:rPr>
        <w:t>action, and make a disclosure externally.</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Where a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is unwilling to identify him/herself, any person receiving a complaint about malpractice should log the incident and consult the Strategic Manager, to consider whether any investigation should</w:t>
      </w:r>
      <w:r>
        <w:rPr>
          <w:rFonts w:ascii="Calibri" w:eastAsia="Calibri" w:hAnsi="Calibri" w:cs="Calibri"/>
          <w:color w:val="000000"/>
        </w:rPr>
        <w:t xml:space="preserve"> be undertaken.</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 xml:space="preserve">Safeguards for </w:t>
      </w:r>
      <w:proofErr w:type="spellStart"/>
      <w:r>
        <w:rPr>
          <w:rFonts w:ascii="Calibri" w:eastAsia="Calibri" w:hAnsi="Calibri" w:cs="Calibri"/>
          <w:b/>
          <w:bCs/>
          <w:color w:val="000000"/>
        </w:rPr>
        <w:t>whistleblowers</w:t>
      </w:r>
      <w:proofErr w:type="spellEnd"/>
      <w:r>
        <w:rPr>
          <w:rFonts w:ascii="Calibri" w:eastAsia="Calibri" w:hAnsi="Calibri" w:cs="Calibri"/>
          <w:b/>
          <w:bCs/>
          <w:color w:val="000000"/>
        </w:rPr>
        <w:t xml:space="preserve"> </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Internal procedures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The decision to report malpractice can be a difficult one for staff, who may possibly fear subsequent victimisation or harassment.  No action will be taken against staff who raise a concern in the proper way, and which they reasonably believe to be in the </w:t>
      </w:r>
      <w:r>
        <w:rPr>
          <w:rFonts w:ascii="Calibri" w:eastAsia="Calibri" w:hAnsi="Calibri" w:cs="Calibri"/>
          <w:color w:val="000000"/>
        </w:rPr>
        <w:t xml:space="preserve">public interest, even if that concern is subsequently discovered to be unfounded after investigation. All Concerns are taken seriously by the </w:t>
      </w:r>
      <w:proofErr w:type="spellStart"/>
      <w:r>
        <w:rPr>
          <w:rFonts w:ascii="Calibri" w:eastAsia="Calibri" w:hAnsi="Calibri" w:cs="Calibri"/>
          <w:color w:val="000000"/>
        </w:rPr>
        <w:t>Daycare</w:t>
      </w:r>
      <w:proofErr w:type="spellEnd"/>
      <w:r>
        <w:rPr>
          <w:rFonts w:ascii="Calibri" w:eastAsia="Calibri" w:hAnsi="Calibri" w:cs="Calibri"/>
          <w:color w:val="000000"/>
        </w:rPr>
        <w:t xml:space="preserve"> Managers and Directors.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However,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who are already the subject of investigation or action und</w:t>
      </w:r>
      <w:r>
        <w:rPr>
          <w:rFonts w:ascii="Calibri" w:eastAsia="Calibri" w:hAnsi="Calibri" w:cs="Calibri"/>
          <w:color w:val="000000"/>
        </w:rPr>
        <w:t>er a formal procedure (e.g. discipline, capability or harassment) should not expect the procedure to be discontinued as a result of the disclosure, unless there is good reason for doing so.</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i/>
          <w:iCs/>
          <w:color w:val="000000"/>
        </w:rPr>
        <w:t>Other protections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To harass, bully, or otherwise subject a person </w:t>
      </w:r>
      <w:r>
        <w:rPr>
          <w:rFonts w:ascii="Calibri" w:eastAsia="Calibri" w:hAnsi="Calibri" w:cs="Calibri"/>
          <w:color w:val="000000"/>
        </w:rPr>
        <w:t>to detriment because they have made a whistleblowing disclosure, or assisted in the investigation of one (for example as a witness), will be considered a disciplinary offence.</w:t>
      </w:r>
    </w:p>
    <w:p w:rsidR="005A3EF9" w:rsidRDefault="00E268DD">
      <w:pPr>
        <w:keepLines/>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Where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do not wish to be identified to others in the course of an </w:t>
      </w:r>
      <w:r>
        <w:rPr>
          <w:rFonts w:ascii="Calibri" w:eastAsia="Calibri" w:hAnsi="Calibri" w:cs="Calibri"/>
          <w:color w:val="000000"/>
        </w:rPr>
        <w:t xml:space="preserve">investigation that wish will be respected in so far as it is reasonably practicable.  However, anonymity cannot be guaranteed.  The process of investigation may reveal the identity of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and, especially in serious cases,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may be r</w:t>
      </w:r>
      <w:r>
        <w:rPr>
          <w:rFonts w:ascii="Calibri" w:eastAsia="Calibri" w:hAnsi="Calibri" w:cs="Calibri"/>
          <w:color w:val="000000"/>
        </w:rPr>
        <w:t xml:space="preserve">equired to give evidence, either by the Company, Safeguarding board, or the police.  Any person subject to disciplinary action or prosecution has access to all the evidence.  </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The Company, or other services, will take all reasonable steps to minimise any d</w:t>
      </w:r>
      <w:r>
        <w:rPr>
          <w:rFonts w:ascii="Calibri" w:eastAsia="Calibri" w:hAnsi="Calibri" w:cs="Calibri"/>
          <w:color w:val="000000"/>
        </w:rPr>
        <w:t xml:space="preserve">ifficulties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may experience as a result of raising a concern.   The Company </w:t>
      </w:r>
      <w:proofErr w:type="gramStart"/>
      <w:r>
        <w:rPr>
          <w:rFonts w:ascii="Calibri" w:eastAsia="Calibri" w:hAnsi="Calibri" w:cs="Calibri"/>
          <w:color w:val="000000"/>
        </w:rPr>
        <w:t>will  sympathetically</w:t>
      </w:r>
      <w:proofErr w:type="gramEnd"/>
      <w:r>
        <w:rPr>
          <w:rFonts w:ascii="Calibri" w:eastAsia="Calibri" w:hAnsi="Calibri" w:cs="Calibri"/>
          <w:color w:val="000000"/>
        </w:rPr>
        <w:t xml:space="preserve"> consider requests from </w:t>
      </w:r>
      <w:proofErr w:type="spellStart"/>
      <w:r>
        <w:rPr>
          <w:rFonts w:ascii="Calibri" w:eastAsia="Calibri" w:hAnsi="Calibri" w:cs="Calibri"/>
          <w:color w:val="000000"/>
        </w:rPr>
        <w:t>whistleblowers</w:t>
      </w:r>
      <w:proofErr w:type="spellEnd"/>
      <w:r>
        <w:rPr>
          <w:rFonts w:ascii="Calibri" w:eastAsia="Calibri" w:hAnsi="Calibri" w:cs="Calibri"/>
          <w:color w:val="000000"/>
        </w:rPr>
        <w:t xml:space="preserve"> for special leave, counselling or other support.</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Improper disclosures</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No action will be taken against a </w:t>
      </w:r>
      <w:proofErr w:type="spellStart"/>
      <w:r>
        <w:rPr>
          <w:rFonts w:ascii="Calibri" w:eastAsia="Calibri" w:hAnsi="Calibri" w:cs="Calibri"/>
          <w:color w:val="000000"/>
        </w:rPr>
        <w:t>wh</w:t>
      </w:r>
      <w:r>
        <w:rPr>
          <w:rFonts w:ascii="Calibri" w:eastAsia="Calibri" w:hAnsi="Calibri" w:cs="Calibri"/>
          <w:color w:val="000000"/>
        </w:rPr>
        <w:t>istleblower</w:t>
      </w:r>
      <w:proofErr w:type="spellEnd"/>
      <w:r>
        <w:rPr>
          <w:rFonts w:ascii="Calibri" w:eastAsia="Calibri" w:hAnsi="Calibri" w:cs="Calibri"/>
          <w:color w:val="000000"/>
        </w:rPr>
        <w:t xml:space="preserve"> if a concern is raised in the proper way, which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reasonably believes to be in the public interest.  However, if allegations are not raised in the proper way, and/or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cannot show that they reasonably believe it </w:t>
      </w:r>
      <w:r>
        <w:rPr>
          <w:rFonts w:ascii="Calibri" w:eastAsia="Calibri" w:hAnsi="Calibri" w:cs="Calibri"/>
          <w:color w:val="000000"/>
        </w:rPr>
        <w:t xml:space="preserve">to be in the public interest, disciplinary sanctions may occur.  This is particularly likely if it is believed that the disclosure was also malicious, vexatious, or made for personal gain. </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How the matter can be taken further.</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This procedure is intended to </w:t>
      </w:r>
      <w:r>
        <w:rPr>
          <w:rFonts w:ascii="Calibri" w:eastAsia="Calibri" w:hAnsi="Calibri" w:cs="Calibri"/>
        </w:rPr>
        <w:t>provide</w:t>
      </w:r>
      <w:r>
        <w:rPr>
          <w:rFonts w:ascii="Calibri" w:eastAsia="Calibri" w:hAnsi="Calibri" w:cs="Calibri"/>
          <w:color w:val="000000"/>
        </w:rPr>
        <w:t xml:space="preserve"> individuals with an avenue to raise concerns with their company and, in some circumstances, Suffolk County Council or OFSTED.  If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is not satisfied, and feels it is right to take the matter further, th</w:t>
      </w:r>
      <w:r>
        <w:rPr>
          <w:rFonts w:ascii="Calibri" w:eastAsia="Calibri" w:hAnsi="Calibri" w:cs="Calibri"/>
          <w:color w:val="000000"/>
        </w:rPr>
        <w:t>e following are possible contact points:</w:t>
      </w:r>
    </w:p>
    <w:p w:rsidR="005A3EF9" w:rsidRDefault="005A3EF9">
      <w:pPr>
        <w:pBdr>
          <w:top w:val="nil"/>
          <w:left w:val="nil"/>
          <w:bottom w:val="nil"/>
          <w:right w:val="nil"/>
          <w:between w:val="nil"/>
        </w:pBdr>
        <w:spacing w:after="240"/>
        <w:ind w:left="720" w:hanging="720"/>
        <w:rPr>
          <w:rFonts w:ascii="Calibri" w:eastAsia="Calibri" w:hAnsi="Calibri" w:cs="Calibri"/>
        </w:rPr>
      </w:pPr>
    </w:p>
    <w:p w:rsidR="005A3EF9" w:rsidRDefault="005A3EF9">
      <w:pPr>
        <w:pBdr>
          <w:top w:val="nil"/>
          <w:left w:val="nil"/>
          <w:bottom w:val="nil"/>
          <w:right w:val="nil"/>
          <w:between w:val="nil"/>
        </w:pBdr>
        <w:spacing w:after="240"/>
        <w:ind w:left="720" w:hanging="720"/>
        <w:rPr>
          <w:rFonts w:ascii="Calibri" w:eastAsia="Calibri" w:hAnsi="Calibri" w:cs="Calibri"/>
        </w:rPr>
      </w:pPr>
    </w:p>
    <w:p w:rsidR="005A3EF9" w:rsidRDefault="005A3EF9">
      <w:pPr>
        <w:pBdr>
          <w:top w:val="nil"/>
          <w:left w:val="nil"/>
          <w:bottom w:val="nil"/>
          <w:right w:val="nil"/>
          <w:between w:val="nil"/>
        </w:pBdr>
        <w:spacing w:after="240"/>
        <w:ind w:left="720" w:hanging="720"/>
        <w:rPr>
          <w:rFonts w:ascii="Calibri" w:eastAsia="Calibri" w:hAnsi="Calibri" w:cs="Calibri"/>
        </w:rPr>
      </w:pPr>
    </w:p>
    <w:p w:rsidR="005A3EF9" w:rsidRDefault="00E268DD">
      <w:pPr>
        <w:numPr>
          <w:ilvl w:val="0"/>
          <w:numId w:val="1"/>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Recognised trade union</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Elected Suffolk County Council member</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Information Commissioner 0303 123 1113</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Local Government Ombudsman 0300 061 0614</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OFSTED 0300 123 3155</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A solicitor</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The Police</w:t>
      </w:r>
    </w:p>
    <w:p w:rsidR="005A3EF9" w:rsidRDefault="00E268DD">
      <w:pPr>
        <w:numPr>
          <w:ilvl w:val="0"/>
          <w:numId w:val="2"/>
        </w:num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NSPCC – </w:t>
      </w:r>
      <w:proofErr w:type="spellStart"/>
      <w:r>
        <w:rPr>
          <w:rFonts w:ascii="Calibri" w:eastAsia="Calibri" w:hAnsi="Calibri" w:cs="Calibri"/>
          <w:color w:val="000000"/>
        </w:rPr>
        <w:t>Whistblowing</w:t>
      </w:r>
      <w:proofErr w:type="spellEnd"/>
      <w:r>
        <w:rPr>
          <w:rFonts w:ascii="Calibri" w:eastAsia="Calibri" w:hAnsi="Calibri" w:cs="Calibri"/>
          <w:color w:val="000000"/>
        </w:rPr>
        <w:t xml:space="preserve"> advice Line</w:t>
      </w:r>
    </w:p>
    <w:p w:rsidR="005A3EF9" w:rsidRDefault="005A3EF9">
      <w:pPr>
        <w:pBdr>
          <w:top w:val="nil"/>
          <w:left w:val="nil"/>
          <w:bottom w:val="nil"/>
          <w:right w:val="nil"/>
          <w:between w:val="nil"/>
        </w:pBdr>
        <w:spacing w:after="120"/>
        <w:ind w:left="1077" w:hanging="357"/>
        <w:rPr>
          <w:rFonts w:ascii="Calibri" w:eastAsia="Calibri" w:hAnsi="Calibri" w:cs="Calibri"/>
          <w:color w:val="000000"/>
        </w:rPr>
      </w:pP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 xml:space="preserve">If the matter is taken outside the company, the </w:t>
      </w:r>
      <w:proofErr w:type="spellStart"/>
      <w:r>
        <w:rPr>
          <w:rFonts w:ascii="Calibri" w:eastAsia="Calibri" w:hAnsi="Calibri" w:cs="Calibri"/>
          <w:color w:val="000000"/>
        </w:rPr>
        <w:t>whistleblower</w:t>
      </w:r>
      <w:proofErr w:type="spellEnd"/>
      <w:r>
        <w:rPr>
          <w:rFonts w:ascii="Calibri" w:eastAsia="Calibri" w:hAnsi="Calibri" w:cs="Calibri"/>
          <w:color w:val="000000"/>
        </w:rPr>
        <w:t xml:space="preserve"> must take all reasonable steps to ensure that confidential or privileged information is not disclosed (i.e. confidential information, in whatever format, must n</w:t>
      </w:r>
      <w:r>
        <w:rPr>
          <w:rFonts w:ascii="Calibri" w:eastAsia="Calibri" w:hAnsi="Calibri" w:cs="Calibri"/>
          <w:color w:val="000000"/>
        </w:rPr>
        <w:t xml:space="preserve">ot be handed over to a third party).  </w:t>
      </w:r>
    </w:p>
    <w:p w:rsidR="005A3EF9" w:rsidRDefault="00E268DD">
      <w:pPr>
        <w:keepNext/>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b/>
          <w:bCs/>
          <w:color w:val="000000"/>
        </w:rPr>
        <w:t>Advice</w:t>
      </w:r>
    </w:p>
    <w:p w:rsidR="005A3EF9" w:rsidRDefault="00E268DD">
      <w:pPr>
        <w:pBdr>
          <w:top w:val="nil"/>
          <w:left w:val="nil"/>
          <w:bottom w:val="nil"/>
          <w:right w:val="nil"/>
          <w:between w:val="nil"/>
        </w:pBdr>
        <w:spacing w:after="240"/>
        <w:ind w:left="720" w:hanging="720"/>
        <w:rPr>
          <w:rFonts w:ascii="Calibri" w:eastAsia="Calibri" w:hAnsi="Calibri" w:cs="Calibri"/>
          <w:color w:val="000000"/>
        </w:rPr>
      </w:pPr>
      <w:r>
        <w:rPr>
          <w:rFonts w:ascii="Calibri" w:eastAsia="Calibri" w:hAnsi="Calibri" w:cs="Calibri"/>
          <w:color w:val="000000"/>
        </w:rPr>
        <w:t>For further advice on this procedure, please contact:</w:t>
      </w:r>
      <w:r>
        <w:rPr>
          <w:rFonts w:ascii="Calibri" w:eastAsia="Calibri" w:hAnsi="Calibri" w:cs="Calibri"/>
          <w:color w:val="000000"/>
        </w:rPr>
        <w:tab/>
      </w:r>
    </w:p>
    <w:p w:rsidR="005A3EF9" w:rsidRDefault="00E268DD">
      <w:pPr>
        <w:ind w:left="720"/>
        <w:rPr>
          <w:rFonts w:ascii="Calibri" w:eastAsia="Calibri" w:hAnsi="Calibri" w:cs="Calibri"/>
          <w:b/>
          <w:bCs/>
        </w:rPr>
      </w:pPr>
      <w:r>
        <w:rPr>
          <w:rFonts w:ascii="Calibri" w:eastAsia="Calibri" w:hAnsi="Calibri" w:cs="Calibri"/>
          <w:b/>
          <w:bCs/>
        </w:rPr>
        <w:t>Directors    - Ruth Coleman</w:t>
      </w:r>
    </w:p>
    <w:p w:rsidR="005A3EF9" w:rsidRDefault="00E268DD">
      <w:pPr>
        <w:ind w:left="1440"/>
        <w:rPr>
          <w:rFonts w:ascii="Calibri" w:eastAsia="Calibri" w:hAnsi="Calibri" w:cs="Calibri"/>
          <w:b/>
          <w:bCs/>
        </w:rPr>
      </w:pPr>
      <w:r>
        <w:rPr>
          <w:rFonts w:ascii="Calibri" w:eastAsia="Calibri" w:hAnsi="Calibri" w:cs="Calibri"/>
          <w:b/>
          <w:bCs/>
        </w:rPr>
        <w:t xml:space="preserve"> -      </w:t>
      </w:r>
      <w:proofErr w:type="spellStart"/>
      <w:r>
        <w:rPr>
          <w:rFonts w:ascii="Calibri" w:eastAsia="Calibri" w:hAnsi="Calibri" w:cs="Calibri"/>
          <w:b/>
          <w:bCs/>
        </w:rPr>
        <w:t>Jannice</w:t>
      </w:r>
      <w:proofErr w:type="spellEnd"/>
      <w:r>
        <w:rPr>
          <w:rFonts w:ascii="Calibri" w:eastAsia="Calibri" w:hAnsi="Calibri" w:cs="Calibri"/>
          <w:b/>
          <w:bCs/>
        </w:rPr>
        <w:t xml:space="preserve"> Simpson</w:t>
      </w:r>
    </w:p>
    <w:p w:rsidR="005A3EF9" w:rsidRDefault="00E268DD">
      <w:pPr>
        <w:ind w:left="720"/>
        <w:rPr>
          <w:rFonts w:ascii="Calibri" w:eastAsia="Calibri" w:hAnsi="Calibri" w:cs="Calibri"/>
        </w:rPr>
      </w:pPr>
      <w:r>
        <w:rPr>
          <w:rFonts w:ascii="Calibri" w:eastAsia="Calibri" w:hAnsi="Calibri" w:cs="Calibri"/>
          <w:b/>
          <w:bCs/>
        </w:rPr>
        <w:t xml:space="preserve">                    - Ross Be</w:t>
      </w:r>
      <w:r>
        <w:rPr>
          <w:rFonts w:ascii="Calibri" w:eastAsia="Calibri" w:hAnsi="Calibri" w:cs="Calibri"/>
          <w:b/>
          <w:bCs/>
        </w:rPr>
        <w:t>e</w:t>
      </w:r>
      <w:r>
        <w:rPr>
          <w:rFonts w:ascii="Calibri" w:eastAsia="Calibri" w:hAnsi="Calibri" w:cs="Calibri"/>
          <w:b/>
          <w:bCs/>
        </w:rPr>
        <w:t>ch</w:t>
      </w:r>
    </w:p>
    <w:p w:rsidR="005A3EF9" w:rsidRDefault="00E268DD">
      <w:pPr>
        <w:ind w:left="720"/>
        <w:rPr>
          <w:rFonts w:ascii="Calibri" w:eastAsia="Calibri" w:hAnsi="Calibri" w:cs="Calibri"/>
        </w:rPr>
      </w:pPr>
      <w:r>
        <w:rPr>
          <w:rFonts w:ascii="Calibri" w:eastAsia="Calibri" w:hAnsi="Calibri" w:cs="Calibri"/>
          <w:b/>
          <w:bCs/>
        </w:rPr>
        <w:t xml:space="preserve">                   </w:t>
      </w:r>
    </w:p>
    <w:p w:rsidR="005A3EF9" w:rsidRDefault="00E268DD">
      <w:pPr>
        <w:ind w:left="720"/>
        <w:rPr>
          <w:rFonts w:ascii="Calibri" w:eastAsia="Calibri" w:hAnsi="Calibri" w:cs="Calibri"/>
          <w:b/>
          <w:bCs/>
        </w:rPr>
      </w:pPr>
      <w:r>
        <w:rPr>
          <w:rFonts w:ascii="Calibri" w:eastAsia="Calibri" w:hAnsi="Calibri" w:cs="Calibri"/>
          <w:b/>
          <w:bCs/>
        </w:rPr>
        <w:t>Managers - E</w:t>
      </w:r>
      <w:r>
        <w:rPr>
          <w:rFonts w:ascii="Calibri" w:eastAsia="Calibri" w:hAnsi="Calibri" w:cs="Calibri"/>
          <w:b/>
          <w:bCs/>
        </w:rPr>
        <w:t>leanor Wood</w:t>
      </w:r>
    </w:p>
    <w:p w:rsidR="005A3EF9" w:rsidRDefault="00E268DD">
      <w:pPr>
        <w:ind w:left="720"/>
        <w:rPr>
          <w:rFonts w:ascii="Calibri" w:eastAsia="Calibri" w:hAnsi="Calibri" w:cs="Calibri"/>
          <w:b/>
          <w:bCs/>
        </w:rPr>
      </w:pPr>
      <w:r>
        <w:rPr>
          <w:rFonts w:ascii="Calibri" w:eastAsia="Calibri" w:hAnsi="Calibri" w:cs="Calibri"/>
          <w:b/>
          <w:bCs/>
        </w:rPr>
        <w:t xml:space="preserve">                     </w:t>
      </w:r>
      <w:proofErr w:type="spellStart"/>
      <w:r>
        <w:rPr>
          <w:rFonts w:ascii="Calibri" w:eastAsia="Calibri" w:hAnsi="Calibri" w:cs="Calibri"/>
          <w:b/>
          <w:bCs/>
        </w:rPr>
        <w:t>Tulani</w:t>
      </w:r>
      <w:proofErr w:type="spellEnd"/>
      <w:r>
        <w:rPr>
          <w:rFonts w:ascii="Calibri" w:eastAsia="Calibri" w:hAnsi="Calibri" w:cs="Calibri"/>
          <w:b/>
          <w:bCs/>
        </w:rPr>
        <w:t xml:space="preserve"> Cook</w:t>
      </w:r>
    </w:p>
    <w:p w:rsidR="005A3EF9" w:rsidRDefault="00E268DD">
      <w:pPr>
        <w:rPr>
          <w:rFonts w:ascii="Calibri" w:eastAsia="Calibri" w:hAnsi="Calibri" w:cs="Calibri"/>
        </w:rPr>
      </w:pPr>
      <w:r>
        <w:rPr>
          <w:rFonts w:ascii="Calibri" w:eastAsia="Calibri" w:hAnsi="Calibri" w:cs="Calibri"/>
          <w:b/>
          <w:bCs/>
        </w:rPr>
        <w:t xml:space="preserve">                                 </w:t>
      </w:r>
      <w:r>
        <w:rPr>
          <w:rFonts w:ascii="Calibri" w:eastAsia="Calibri" w:hAnsi="Calibri" w:cs="Calibri"/>
          <w:b/>
          <w:bCs/>
        </w:rPr>
        <w:t xml:space="preserve">   </w:t>
      </w:r>
      <w:r>
        <w:rPr>
          <w:rFonts w:ascii="Calibri" w:eastAsia="Calibri" w:hAnsi="Calibri" w:cs="Calibri"/>
          <w:b/>
          <w:bCs/>
        </w:rPr>
        <w:t>Vi</w:t>
      </w:r>
      <w:r>
        <w:rPr>
          <w:rFonts w:ascii="Calibri" w:eastAsia="Calibri" w:hAnsi="Calibri" w:cs="Calibri"/>
          <w:b/>
          <w:bCs/>
        </w:rPr>
        <w:t>ctoria</w:t>
      </w:r>
      <w:r>
        <w:rPr>
          <w:rFonts w:ascii="Calibri" w:eastAsia="Calibri" w:hAnsi="Calibri" w:cs="Calibri"/>
          <w:b/>
          <w:bCs/>
        </w:rPr>
        <w:t xml:space="preserve"> Hale-C</w:t>
      </w:r>
      <w:r>
        <w:rPr>
          <w:rFonts w:ascii="Calibri" w:eastAsia="Calibri" w:hAnsi="Calibri" w:cs="Calibri"/>
          <w:b/>
          <w:bCs/>
        </w:rPr>
        <w:t>larke</w:t>
      </w:r>
    </w:p>
    <w:p w:rsidR="005A3EF9" w:rsidRDefault="005A3EF9">
      <w:pPr>
        <w:ind w:left="720"/>
        <w:rPr>
          <w:rFonts w:ascii="Comic Sans MS" w:eastAsia="Comic Sans MS" w:hAnsi="Comic Sans MS" w:cs="Comic Sans MS"/>
        </w:rPr>
      </w:pPr>
    </w:p>
    <w:sectPr w:rsidR="005A3EF9">
      <w:headerReference w:type="default" r:id="rId11"/>
      <w:footerReference w:type="default" r:id="rId12"/>
      <w:pgSz w:w="11906" w:h="16838"/>
      <w:pgMar w:top="851" w:right="851" w:bottom="851" w:left="851" w:header="720"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8DD" w:rsidRDefault="00E268DD">
      <w:r>
        <w:separator/>
      </w:r>
    </w:p>
  </w:endnote>
  <w:endnote w:type="continuationSeparator" w:id="0">
    <w:p w:rsidR="00E268DD" w:rsidRDefault="00E26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4B2ED08A-EF29-4077-A675-19C0A155C979}"/>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A72EDEA4-AF6A-4FB7-9DB3-5284DB59C046}"/>
  </w:font>
  <w:font w:name="Calibri">
    <w:panose1 w:val="020F0502020204030204"/>
    <w:charset w:val="00"/>
    <w:family w:val="swiss"/>
    <w:pitch w:val="variable"/>
    <w:sig w:usb0="E4002EFF" w:usb1="C200247B" w:usb2="00000009" w:usb3="00000000" w:csb0="000001FF" w:csb1="00000000"/>
    <w:embedRegular r:id="rId3" w:fontKey="{C35248C9-C273-4AF7-9F19-8B99EB9134A5}"/>
    <w:embedBold r:id="rId4" w:fontKey="{A09C849A-03ED-4377-80C9-6DB2CD84F68D}"/>
    <w:embedItalic r:id="rId5" w:fontKey="{7559C0F8-6957-4C64-B7F8-6ED00B121506}"/>
    <w:embedBoldItalic r:id="rId6" w:fontKey="{F031649F-52FC-43D0-A045-8BA4FD90A629}"/>
  </w:font>
  <w:font w:name="Georgia">
    <w:panose1 w:val="02040502050405020303"/>
    <w:charset w:val="00"/>
    <w:family w:val="roman"/>
    <w:pitch w:val="variable"/>
    <w:sig w:usb0="00000287" w:usb1="00000000" w:usb2="00000000" w:usb3="00000000" w:csb0="0000009F" w:csb1="00000000"/>
    <w:embedItalic r:id="rId7" w:fontKey="{7718FC63-8CE3-49E4-805D-79BE4D0F0639}"/>
  </w:font>
  <w:font w:name="Comic Sans MS">
    <w:panose1 w:val="030F0702030302020204"/>
    <w:charset w:val="00"/>
    <w:family w:val="script"/>
    <w:pitch w:val="variable"/>
    <w:sig w:usb0="00000687" w:usb1="00000013" w:usb2="00000000" w:usb3="00000000" w:csb0="0000009F" w:csb1="00000000"/>
    <w:embedRegular r:id="rId8" w:fontKey="{5C0C13A4-2E6E-48D9-B6AD-D1E07FBFEADC}"/>
  </w:font>
  <w:font w:name="Cambria">
    <w:panose1 w:val="02040503050406030204"/>
    <w:charset w:val="00"/>
    <w:family w:val="roman"/>
    <w:pitch w:val="variable"/>
    <w:sig w:usb0="E00006FF" w:usb1="420024FF" w:usb2="02000000" w:usb3="00000000" w:csb0="0000019F" w:csb1="00000000"/>
    <w:embedRegular r:id="rId9" w:fontKey="{41B5F81E-34D0-4907-9E8A-F442DF3AE2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F9" w:rsidRDefault="00E268DD">
    <w:pPr>
      <w:pBdr>
        <w:top w:val="nil"/>
        <w:left w:val="nil"/>
        <w:bottom w:val="nil"/>
        <w:right w:val="nil"/>
        <w:between w:val="nil"/>
      </w:pBdr>
      <w:tabs>
        <w:tab w:val="center" w:pos="4153"/>
        <w:tab w:val="right" w:pos="8306"/>
      </w:tabs>
      <w:rPr>
        <w:rFonts w:ascii="Calibri" w:eastAsia="Calibri" w:hAnsi="Calibri" w:cs="Calibri"/>
        <w:color w:val="000000"/>
      </w:rPr>
    </w:pPr>
    <w:r>
      <w:rPr>
        <w:rFonts w:ascii="Calibri" w:eastAsia="Calibri" w:hAnsi="Calibri" w:cs="Calibri"/>
        <w:color w:val="000000"/>
      </w:rPr>
      <w:t>Highfield Children Centre Company</w:t>
    </w:r>
    <w:r>
      <w:rPr>
        <w:rFonts w:ascii="Calibri" w:eastAsia="Calibri" w:hAnsi="Calibri" w:cs="Calibri"/>
        <w:color w:val="000000"/>
      </w:rPr>
      <w:tab/>
    </w:r>
    <w:r>
      <w:rPr>
        <w:rFonts w:ascii="Calibri" w:eastAsia="Calibri" w:hAnsi="Calibri" w:cs="Calibri"/>
        <w:color w:val="000000"/>
      </w:rPr>
      <w:tab/>
      <w:t xml:space="preserve">Page </w:t>
    </w:r>
    <w:r>
      <w:rPr>
        <w:rFonts w:ascii="Calibri" w:eastAsia="Calibri" w:hAnsi="Calibri" w:cs="Calibri"/>
        <w:color w:val="000000"/>
      </w:rPr>
      <w:fldChar w:fldCharType="begin"/>
    </w:r>
    <w:r>
      <w:rPr>
        <w:rFonts w:ascii="Calibri" w:eastAsia="Calibri" w:hAnsi="Calibri" w:cs="Calibri"/>
        <w:color w:val="000000"/>
      </w:rPr>
      <w:instrText>PAGE</w:instrText>
    </w:r>
    <w:r w:rsidR="00C873E8">
      <w:rPr>
        <w:rFonts w:ascii="Calibri" w:eastAsia="Calibri" w:hAnsi="Calibri" w:cs="Calibri"/>
        <w:color w:val="000000"/>
      </w:rPr>
      <w:fldChar w:fldCharType="separate"/>
    </w:r>
    <w:r w:rsidR="00C873E8">
      <w:rPr>
        <w:rFonts w:ascii="Calibri" w:eastAsia="Calibri" w:hAnsi="Calibri" w:cs="Calibri"/>
        <w:noProof/>
        <w:color w:val="000000"/>
      </w:rPr>
      <w:t>1</w:t>
    </w:r>
    <w:r>
      <w:rPr>
        <w:rFonts w:ascii="Calibri" w:eastAsia="Calibri" w:hAnsi="Calibri" w:cs="Calibri"/>
        <w:color w:val="000000"/>
      </w:rPr>
      <w:fldChar w:fldCharType="end"/>
    </w:r>
    <w:r>
      <w:rPr>
        <w:rFonts w:ascii="Calibri" w:eastAsia="Calibri" w:hAnsi="Calibri" w:cs="Calibri"/>
        <w:color w:val="000000"/>
      </w:rPr>
      <w:t xml:space="preserve"> of </w:t>
    </w:r>
    <w:r>
      <w:rPr>
        <w:rFonts w:ascii="Calibri" w:eastAsia="Calibri" w:hAnsi="Calibri" w:cs="Calibri"/>
        <w:color w:val="000000"/>
      </w:rPr>
      <w:fldChar w:fldCharType="begin"/>
    </w:r>
    <w:r>
      <w:rPr>
        <w:rFonts w:ascii="Calibri" w:eastAsia="Calibri" w:hAnsi="Calibri" w:cs="Calibri"/>
        <w:color w:val="000000"/>
      </w:rPr>
      <w:instrText>NUMPAGES</w:instrText>
    </w:r>
    <w:r w:rsidR="00C873E8">
      <w:rPr>
        <w:rFonts w:ascii="Calibri" w:eastAsia="Calibri" w:hAnsi="Calibri" w:cs="Calibri"/>
        <w:color w:val="000000"/>
      </w:rPr>
      <w:fldChar w:fldCharType="separate"/>
    </w:r>
    <w:r w:rsidR="00C873E8">
      <w:rPr>
        <w:rFonts w:ascii="Calibri" w:eastAsia="Calibri" w:hAnsi="Calibri" w:cs="Calibri"/>
        <w:noProof/>
        <w:color w:val="000000"/>
      </w:rPr>
      <w:t>1</w:t>
    </w:r>
    <w:r>
      <w:rPr>
        <w:rFonts w:ascii="Calibri" w:eastAsia="Calibri" w:hAnsi="Calibri" w:cs="Calibri"/>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8DD" w:rsidRDefault="00E268DD">
      <w:r>
        <w:separator/>
      </w:r>
    </w:p>
  </w:footnote>
  <w:footnote w:type="continuationSeparator" w:id="0">
    <w:p w:rsidR="00E268DD" w:rsidRDefault="00E26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F9" w:rsidRDefault="005A3EF9">
    <w:pPr>
      <w:pBdr>
        <w:top w:val="nil"/>
        <w:left w:val="nil"/>
        <w:bottom w:val="nil"/>
        <w:right w:val="nil"/>
        <w:between w:val="nil"/>
      </w:pBdr>
      <w:tabs>
        <w:tab w:val="center" w:pos="4153"/>
        <w:tab w:val="right" w:pos="8306"/>
      </w:tabs>
      <w:rPr>
        <w:color w:val="000000"/>
      </w:rPr>
    </w:pPr>
  </w:p>
  <w:tbl>
    <w:tblPr>
      <w:tblStyle w:val="a"/>
      <w:tblW w:w="35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9"/>
      <w:gridCol w:w="1701"/>
    </w:tblGrid>
    <w:tr w:rsidR="005A3EF9">
      <w:tc>
        <w:tcPr>
          <w:tcW w:w="1809" w:type="dxa"/>
        </w:tcPr>
        <w:p w:rsidR="005A3EF9" w:rsidRDefault="00E268DD">
          <w:pPr>
            <w:pBdr>
              <w:top w:val="nil"/>
              <w:left w:val="nil"/>
              <w:bottom w:val="nil"/>
              <w:right w:val="nil"/>
              <w:between w:val="nil"/>
            </w:pBdr>
            <w:tabs>
              <w:tab w:val="center" w:pos="4153"/>
              <w:tab w:val="right" w:pos="8306"/>
            </w:tabs>
            <w:rPr>
              <w:color w:val="000000"/>
            </w:rPr>
          </w:pPr>
          <w:r>
            <w:rPr>
              <w:color w:val="000000"/>
            </w:rPr>
            <w:t>Date Reviewed:</w:t>
          </w:r>
        </w:p>
      </w:tc>
      <w:tc>
        <w:tcPr>
          <w:tcW w:w="1701" w:type="dxa"/>
        </w:tcPr>
        <w:p w:rsidR="005A3EF9" w:rsidRDefault="00E268DD">
          <w:pPr>
            <w:pBdr>
              <w:top w:val="nil"/>
              <w:left w:val="nil"/>
              <w:bottom w:val="nil"/>
              <w:right w:val="nil"/>
              <w:between w:val="nil"/>
            </w:pBdr>
            <w:tabs>
              <w:tab w:val="center" w:pos="4153"/>
              <w:tab w:val="right" w:pos="8306"/>
            </w:tabs>
            <w:rPr>
              <w:color w:val="000000"/>
            </w:rPr>
          </w:pPr>
          <w:r>
            <w:t>February</w:t>
          </w:r>
          <w:r>
            <w:rPr>
              <w:color w:val="000000"/>
            </w:rPr>
            <w:t xml:space="preserve"> 202</w:t>
          </w:r>
          <w:r>
            <w:t>6</w:t>
          </w:r>
        </w:p>
      </w:tc>
    </w:tr>
    <w:tr w:rsidR="005A3EF9">
      <w:tc>
        <w:tcPr>
          <w:tcW w:w="1809" w:type="dxa"/>
        </w:tcPr>
        <w:p w:rsidR="005A3EF9" w:rsidRDefault="00E268DD">
          <w:pPr>
            <w:pBdr>
              <w:top w:val="nil"/>
              <w:left w:val="nil"/>
              <w:bottom w:val="nil"/>
              <w:right w:val="nil"/>
              <w:between w:val="nil"/>
            </w:pBdr>
            <w:tabs>
              <w:tab w:val="center" w:pos="4153"/>
              <w:tab w:val="right" w:pos="8306"/>
            </w:tabs>
            <w:rPr>
              <w:color w:val="000000"/>
            </w:rPr>
          </w:pPr>
          <w:r>
            <w:rPr>
              <w:color w:val="000000"/>
            </w:rPr>
            <w:t>Review Date:</w:t>
          </w:r>
        </w:p>
      </w:tc>
      <w:tc>
        <w:tcPr>
          <w:tcW w:w="1701" w:type="dxa"/>
        </w:tcPr>
        <w:p w:rsidR="005A3EF9" w:rsidRDefault="00E268DD">
          <w:pPr>
            <w:pBdr>
              <w:top w:val="nil"/>
              <w:left w:val="nil"/>
              <w:bottom w:val="nil"/>
              <w:right w:val="nil"/>
              <w:between w:val="nil"/>
            </w:pBdr>
            <w:tabs>
              <w:tab w:val="center" w:pos="4153"/>
              <w:tab w:val="right" w:pos="8306"/>
            </w:tabs>
            <w:rPr>
              <w:color w:val="000000"/>
            </w:rPr>
          </w:pPr>
          <w:r>
            <w:t>February</w:t>
          </w:r>
          <w:r>
            <w:rPr>
              <w:color w:val="000000"/>
            </w:rPr>
            <w:t xml:space="preserve"> 202</w:t>
          </w:r>
          <w:r>
            <w:t>8</w:t>
          </w:r>
        </w:p>
      </w:tc>
    </w:tr>
  </w:tbl>
  <w:p w:rsidR="005A3EF9" w:rsidRDefault="005A3EF9">
    <w:pPr>
      <w:pBdr>
        <w:top w:val="nil"/>
        <w:left w:val="nil"/>
        <w:bottom w:val="nil"/>
        <w:right w:val="nil"/>
        <w:between w:val="nil"/>
      </w:pBdr>
      <w:tabs>
        <w:tab w:val="center" w:pos="4153"/>
        <w:tab w:val="right" w:pos="8306"/>
      </w:tabs>
      <w:rPr>
        <w:color w:val="000000"/>
      </w:rPr>
    </w:pPr>
  </w:p>
  <w:p w:rsidR="005A3EF9" w:rsidRDefault="005A3EF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006B6"/>
    <w:multiLevelType w:val="multilevel"/>
    <w:tmpl w:val="4E1617CE"/>
    <w:lvl w:ilvl="0">
      <w:start w:val="1"/>
      <w:numFmt w:val="bullet"/>
      <w:pStyle w:val="No1"/>
      <w:lvlText w:val="●"/>
      <w:lvlJc w:val="left"/>
      <w:pPr>
        <w:ind w:left="1077" w:hanging="357"/>
      </w:pPr>
      <w:rPr>
        <w:rFonts w:ascii="Noto Sans Symbols" w:eastAsia="Noto Sans Symbols" w:hAnsi="Noto Sans Symbols" w:cs="Noto Sans Symbols"/>
        <w:sz w:val="22"/>
        <w:szCs w:val="22"/>
        <w:vertAlign w:val="baseline"/>
      </w:rPr>
    </w:lvl>
    <w:lvl w:ilvl="1">
      <w:start w:val="1"/>
      <w:numFmt w:val="decimal"/>
      <w:pStyle w:val="No2"/>
      <w:lvlText w:val="%2."/>
      <w:lvlJc w:val="left"/>
      <w:pPr>
        <w:ind w:left="1440" w:hanging="360"/>
      </w:pPr>
      <w:rPr>
        <w:vertAlign w:val="baseline"/>
      </w:rPr>
    </w:lvl>
    <w:lvl w:ilvl="2">
      <w:start w:val="1"/>
      <w:numFmt w:val="decimal"/>
      <w:pStyle w:val="No3"/>
      <w:lvlText w:val="%3."/>
      <w:lvlJc w:val="left"/>
      <w:pPr>
        <w:ind w:left="2160" w:hanging="360"/>
      </w:pPr>
      <w:rPr>
        <w:vertAlign w:val="baseline"/>
      </w:rPr>
    </w:lvl>
    <w:lvl w:ilvl="3">
      <w:start w:val="1"/>
      <w:numFmt w:val="decimal"/>
      <w:pStyle w:val="No4"/>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 w15:restartNumberingAfterBreak="0">
    <w:nsid w:val="4E624856"/>
    <w:multiLevelType w:val="multilevel"/>
    <w:tmpl w:val="9A7AB190"/>
    <w:lvl w:ilvl="0">
      <w:start w:val="1"/>
      <w:numFmt w:val="bullet"/>
      <w:pStyle w:val="ListBullet"/>
      <w:lvlText w:val="●"/>
      <w:lvlJc w:val="left"/>
      <w:pPr>
        <w:ind w:left="1797" w:hanging="360"/>
      </w:pPr>
      <w:rPr>
        <w:rFonts w:ascii="Noto Sans Symbols" w:eastAsia="Noto Sans Symbols" w:hAnsi="Noto Sans Symbols" w:cs="Noto Sans Symbols"/>
        <w:vertAlign w:val="baseline"/>
      </w:rPr>
    </w:lvl>
    <w:lvl w:ilvl="1">
      <w:start w:val="1"/>
      <w:numFmt w:val="bullet"/>
      <w:lvlText w:val="o"/>
      <w:lvlJc w:val="left"/>
      <w:pPr>
        <w:ind w:left="2517" w:hanging="360"/>
      </w:pPr>
      <w:rPr>
        <w:rFonts w:ascii="Courier New" w:eastAsia="Courier New" w:hAnsi="Courier New" w:cs="Courier New"/>
        <w:vertAlign w:val="baseline"/>
      </w:rPr>
    </w:lvl>
    <w:lvl w:ilvl="2">
      <w:start w:val="1"/>
      <w:numFmt w:val="bullet"/>
      <w:lvlText w:val="▪"/>
      <w:lvlJc w:val="left"/>
      <w:pPr>
        <w:ind w:left="3237" w:hanging="360"/>
      </w:pPr>
      <w:rPr>
        <w:rFonts w:ascii="Noto Sans Symbols" w:eastAsia="Noto Sans Symbols" w:hAnsi="Noto Sans Symbols" w:cs="Noto Sans Symbols"/>
        <w:vertAlign w:val="baseline"/>
      </w:rPr>
    </w:lvl>
    <w:lvl w:ilvl="3">
      <w:start w:val="1"/>
      <w:numFmt w:val="bullet"/>
      <w:lvlText w:val="●"/>
      <w:lvlJc w:val="left"/>
      <w:pPr>
        <w:ind w:left="3957" w:hanging="360"/>
      </w:pPr>
      <w:rPr>
        <w:rFonts w:ascii="Noto Sans Symbols" w:eastAsia="Noto Sans Symbols" w:hAnsi="Noto Sans Symbols" w:cs="Noto Sans Symbols"/>
        <w:vertAlign w:val="baseline"/>
      </w:rPr>
    </w:lvl>
    <w:lvl w:ilvl="4">
      <w:start w:val="1"/>
      <w:numFmt w:val="bullet"/>
      <w:lvlText w:val="o"/>
      <w:lvlJc w:val="left"/>
      <w:pPr>
        <w:ind w:left="4677" w:hanging="360"/>
      </w:pPr>
      <w:rPr>
        <w:rFonts w:ascii="Courier New" w:eastAsia="Courier New" w:hAnsi="Courier New" w:cs="Courier New"/>
        <w:vertAlign w:val="baseline"/>
      </w:rPr>
    </w:lvl>
    <w:lvl w:ilvl="5">
      <w:start w:val="1"/>
      <w:numFmt w:val="bullet"/>
      <w:lvlText w:val="▪"/>
      <w:lvlJc w:val="left"/>
      <w:pPr>
        <w:ind w:left="5397" w:hanging="360"/>
      </w:pPr>
      <w:rPr>
        <w:rFonts w:ascii="Noto Sans Symbols" w:eastAsia="Noto Sans Symbols" w:hAnsi="Noto Sans Symbols" w:cs="Noto Sans Symbols"/>
        <w:vertAlign w:val="baseline"/>
      </w:rPr>
    </w:lvl>
    <w:lvl w:ilvl="6">
      <w:start w:val="1"/>
      <w:numFmt w:val="bullet"/>
      <w:lvlText w:val="●"/>
      <w:lvlJc w:val="left"/>
      <w:pPr>
        <w:ind w:left="6117" w:hanging="360"/>
      </w:pPr>
      <w:rPr>
        <w:rFonts w:ascii="Noto Sans Symbols" w:eastAsia="Noto Sans Symbols" w:hAnsi="Noto Sans Symbols" w:cs="Noto Sans Symbols"/>
        <w:vertAlign w:val="baseline"/>
      </w:rPr>
    </w:lvl>
    <w:lvl w:ilvl="7">
      <w:start w:val="1"/>
      <w:numFmt w:val="bullet"/>
      <w:lvlText w:val="o"/>
      <w:lvlJc w:val="left"/>
      <w:pPr>
        <w:ind w:left="6837" w:hanging="360"/>
      </w:pPr>
      <w:rPr>
        <w:rFonts w:ascii="Courier New" w:eastAsia="Courier New" w:hAnsi="Courier New" w:cs="Courier New"/>
        <w:vertAlign w:val="baseline"/>
      </w:rPr>
    </w:lvl>
    <w:lvl w:ilvl="8">
      <w:start w:val="1"/>
      <w:numFmt w:val="bullet"/>
      <w:lvlText w:val="▪"/>
      <w:lvlJc w:val="left"/>
      <w:pPr>
        <w:ind w:left="7557" w:hanging="360"/>
      </w:pPr>
      <w:rPr>
        <w:rFonts w:ascii="Noto Sans Symbols" w:eastAsia="Noto Sans Symbols" w:hAnsi="Noto Sans Symbols" w:cs="Noto Sans Symbols"/>
        <w:vertAlign w:val="baseline"/>
      </w:rPr>
    </w:lvl>
  </w:abstractNum>
  <w:abstractNum w:abstractNumId="2" w15:restartNumberingAfterBreak="0">
    <w:nsid w:val="5A582B07"/>
    <w:multiLevelType w:val="multilevel"/>
    <w:tmpl w:val="B628B5DA"/>
    <w:lvl w:ilvl="0">
      <w:start w:val="1"/>
      <w:numFmt w:val="bullet"/>
      <w:pStyle w:val="Bullet2"/>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9"/>
    <w:rsid w:val="005A3EF9"/>
    <w:rsid w:val="00C873E8"/>
    <w:rsid w:val="00E2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B1C607-E5D9-4D8D-BE1B-BC4445C2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after="240"/>
      <w:jc w:val="center"/>
      <w:outlineLvl w:val="0"/>
    </w:pPr>
    <w:rPr>
      <w:b/>
      <w:bCs/>
      <w:color w:val="000080"/>
      <w:sz w:val="32"/>
      <w:szCs w:val="32"/>
    </w:rPr>
  </w:style>
  <w:style w:type="paragraph" w:styleId="Heading2">
    <w:name w:val="heading 2"/>
    <w:basedOn w:val="Normal"/>
    <w:next w:val="Normal"/>
    <w:uiPriority w:val="9"/>
    <w:semiHidden/>
    <w:unhideWhenUsed/>
    <w:qFormat/>
    <w:pPr>
      <w:keepNext/>
      <w:spacing w:after="240"/>
      <w:outlineLvl w:val="1"/>
    </w:pPr>
    <w:rPr>
      <w:color w:val="000080"/>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BodyText">
    <w:name w:val="Body Text"/>
    <w:basedOn w:val="Normal"/>
    <w:pPr>
      <w:suppressAutoHyphens/>
      <w:spacing w:after="240" w:line="1" w:lineRule="atLeast"/>
      <w:ind w:leftChars="-1" w:left="-1" w:hangingChars="1" w:hanging="1"/>
      <w:textDirection w:val="btLr"/>
      <w:textAlignment w:val="top"/>
      <w:outlineLvl w:val="0"/>
    </w:pPr>
    <w:rPr>
      <w:position w:val="-1"/>
      <w:lang w:eastAsia="en-US"/>
    </w:rPr>
  </w:style>
  <w:style w:type="paragraph" w:styleId="ListBullet">
    <w:name w:val="List Bullet"/>
    <w:basedOn w:val="Normal"/>
    <w:pPr>
      <w:numPr>
        <w:numId w:val="1"/>
      </w:numPr>
      <w:tabs>
        <w:tab w:val="num" w:pos="720"/>
      </w:tabs>
      <w:suppressAutoHyphens/>
      <w:spacing w:after="240" w:line="1" w:lineRule="atLeast"/>
      <w:ind w:leftChars="-1" w:left="720" w:hangingChars="1" w:hanging="720"/>
      <w:textDirection w:val="btLr"/>
      <w:textAlignment w:val="top"/>
      <w:outlineLvl w:val="0"/>
    </w:pPr>
    <w:rPr>
      <w:position w:val="-1"/>
      <w:lang w:eastAsia="en-US"/>
    </w:rPr>
  </w:style>
  <w:style w:type="paragraph" w:customStyle="1" w:styleId="No2">
    <w:name w:val="No.2"/>
    <w:basedOn w:val="Normal"/>
    <w:next w:val="BodyText2"/>
    <w:pPr>
      <w:numPr>
        <w:ilvl w:val="1"/>
        <w:numId w:val="2"/>
      </w:numPr>
      <w:suppressAutoHyphens/>
      <w:spacing w:after="240" w:line="1" w:lineRule="atLeast"/>
      <w:ind w:leftChars="-1" w:left="-1" w:hangingChars="1" w:hanging="1"/>
      <w:textDirection w:val="btLr"/>
      <w:textAlignment w:val="top"/>
      <w:outlineLvl w:val="1"/>
    </w:pPr>
    <w:rPr>
      <w:position w:val="-1"/>
      <w:lang w:eastAsia="en-US"/>
    </w:rPr>
  </w:style>
  <w:style w:type="paragraph" w:customStyle="1" w:styleId="No1">
    <w:name w:val="No.1"/>
    <w:basedOn w:val="Normal"/>
    <w:next w:val="No2"/>
    <w:pPr>
      <w:keepNext/>
      <w:numPr>
        <w:numId w:val="2"/>
      </w:numPr>
      <w:suppressAutoHyphens/>
      <w:spacing w:after="240" w:line="1" w:lineRule="atLeast"/>
      <w:ind w:leftChars="-1" w:left="-1" w:hangingChars="1" w:hanging="1"/>
      <w:textDirection w:val="btLr"/>
      <w:textAlignment w:val="top"/>
      <w:outlineLvl w:val="0"/>
    </w:pPr>
    <w:rPr>
      <w:shadow/>
      <w:color w:val="000080"/>
      <w:position w:val="-1"/>
      <w:sz w:val="26"/>
      <w:lang w:eastAsia="en-US"/>
    </w:rPr>
  </w:style>
  <w:style w:type="paragraph" w:customStyle="1" w:styleId="No3">
    <w:name w:val="No.3"/>
    <w:basedOn w:val="Normal"/>
    <w:next w:val="Normal"/>
    <w:pPr>
      <w:keepLines/>
      <w:numPr>
        <w:ilvl w:val="2"/>
        <w:numId w:val="2"/>
      </w:numPr>
      <w:suppressAutoHyphens/>
      <w:spacing w:after="240" w:line="1" w:lineRule="atLeast"/>
      <w:ind w:leftChars="-1" w:left="-1" w:hangingChars="1" w:hanging="1"/>
      <w:textDirection w:val="btLr"/>
      <w:textAlignment w:val="top"/>
      <w:outlineLvl w:val="2"/>
    </w:pPr>
    <w:rPr>
      <w:position w:val="-1"/>
      <w:lang w:eastAsia="en-US"/>
    </w:rPr>
  </w:style>
  <w:style w:type="paragraph" w:customStyle="1" w:styleId="No4">
    <w:name w:val="No.4"/>
    <w:basedOn w:val="Normal"/>
    <w:pPr>
      <w:numPr>
        <w:ilvl w:val="3"/>
        <w:numId w:val="2"/>
      </w:numPr>
      <w:suppressAutoHyphens/>
      <w:spacing w:after="240" w:line="1" w:lineRule="atLeast"/>
      <w:ind w:leftChars="-1" w:left="-1" w:hangingChars="1" w:hanging="1"/>
      <w:textDirection w:val="btLr"/>
      <w:textAlignment w:val="top"/>
      <w:outlineLvl w:val="3"/>
    </w:pPr>
    <w:rPr>
      <w:position w:val="-1"/>
      <w:lang w:eastAsia="en-US"/>
    </w:rPr>
  </w:style>
  <w:style w:type="paragraph" w:customStyle="1" w:styleId="Bullet2">
    <w:name w:val="Bullet 2"/>
    <w:basedOn w:val="Normal"/>
    <w:pPr>
      <w:numPr>
        <w:numId w:val="3"/>
      </w:numPr>
      <w:suppressAutoHyphens/>
      <w:spacing w:after="240" w:line="1" w:lineRule="atLeast"/>
      <w:ind w:leftChars="-1" w:left="-1" w:hangingChars="1" w:hanging="1"/>
      <w:textDirection w:val="btLr"/>
      <w:textAlignment w:val="top"/>
      <w:outlineLvl w:val="0"/>
    </w:pPr>
    <w:rPr>
      <w:position w:val="-1"/>
      <w:lang w:eastAsia="en-US"/>
    </w:rPr>
  </w:style>
  <w:style w:type="paragraph" w:styleId="BodyText2">
    <w:name w:val="Body Text 2"/>
    <w:basedOn w:val="Normal"/>
    <w:pPr>
      <w:suppressAutoHyphens/>
      <w:spacing w:after="120" w:line="480" w:lineRule="auto"/>
      <w:ind w:leftChars="-1" w:left="-1" w:hangingChars="1" w:hanging="1"/>
      <w:textDirection w:val="btLr"/>
      <w:textAlignment w:val="top"/>
      <w:outlineLvl w:val="0"/>
    </w:pPr>
    <w:rPr>
      <w:position w:val="-1"/>
      <w:lang w:eastAsia="en-US"/>
    </w:rPr>
  </w:style>
  <w:style w:type="paragraph" w:styleId="Header">
    <w:name w:val="header"/>
    <w:basedOn w:val="Normal"/>
    <w:pPr>
      <w:tabs>
        <w:tab w:val="center" w:pos="4153"/>
        <w:tab w:val="right" w:pos="8306"/>
      </w:tabs>
      <w:suppressAutoHyphens/>
      <w:spacing w:line="1" w:lineRule="atLeast"/>
      <w:ind w:leftChars="-1" w:left="-1" w:hangingChars="1" w:hanging="1"/>
      <w:textDirection w:val="btLr"/>
      <w:textAlignment w:val="top"/>
      <w:outlineLvl w:val="0"/>
    </w:pPr>
    <w:rPr>
      <w:position w:val="-1"/>
      <w:lang w:eastAsia="en-US"/>
    </w:rPr>
  </w:style>
  <w:style w:type="paragraph" w:styleId="Footer">
    <w:name w:val="footer"/>
    <w:basedOn w:val="Normal"/>
    <w:pPr>
      <w:tabs>
        <w:tab w:val="center" w:pos="4153"/>
        <w:tab w:val="right" w:pos="8306"/>
      </w:tabs>
      <w:suppressAutoHyphens/>
      <w:spacing w:line="1" w:lineRule="atLeast"/>
      <w:ind w:leftChars="-1" w:left="-1" w:hangingChars="1" w:hanging="1"/>
      <w:textDirection w:val="btLr"/>
      <w:textAlignment w:val="top"/>
      <w:outlineLvl w:val="0"/>
    </w:pPr>
    <w:rPr>
      <w:position w:val="-1"/>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eastAsia="en-US"/>
    </w:rPr>
  </w:style>
  <w:style w:type="paragraph" w:styleId="FootnoteText">
    <w:name w:val="footnote text"/>
    <w:basedOn w:val="Normal"/>
    <w:pPr>
      <w:suppressAutoHyphens/>
      <w:spacing w:line="1" w:lineRule="atLeast"/>
      <w:ind w:leftChars="-1" w:left="-1" w:hangingChars="1" w:hanging="1"/>
      <w:textDirection w:val="btLr"/>
      <w:textAlignment w:val="top"/>
      <w:outlineLvl w:val="0"/>
    </w:pPr>
    <w:rPr>
      <w:position w:val="-1"/>
      <w:sz w:val="20"/>
      <w:lang w:eastAsia="en-US"/>
    </w:rPr>
  </w:style>
  <w:style w:type="character" w:styleId="FootnoteReference">
    <w:name w:val="footnote reference"/>
    <w:rPr>
      <w:w w:val="100"/>
      <w:position w:val="-1"/>
      <w:effect w:val="none"/>
      <w:vertAlign w:val="superscript"/>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lang w:eastAsia="en-US"/>
    </w:rPr>
  </w:style>
  <w:style w:type="character" w:styleId="Hyperlink">
    <w:name w:val="Hyperlink"/>
    <w:qFormat/>
    <w:rPr>
      <w:color w:val="0000FF"/>
      <w:w w:val="100"/>
      <w:position w:val="-1"/>
      <w:u w:val="single"/>
      <w:effect w:val="none"/>
      <w:vertAlign w:val="baseline"/>
      <w:cs w:val="0"/>
      <w:em w:val="none"/>
    </w:rPr>
  </w:style>
  <w:style w:type="character" w:customStyle="1" w:styleId="FootnoteTextChar">
    <w:name w:val="Footnote Text Char"/>
    <w:rPr>
      <w:rFonts w:ascii="Arial" w:hAnsi="Arial"/>
      <w:w w:val="100"/>
      <w:position w:val="-1"/>
      <w:effect w:val="none"/>
      <w:vertAlign w:val="baseline"/>
      <w:cs w:val="0"/>
      <w:em w:val="none"/>
      <w:lang w:eastAsia="en-US"/>
    </w:rPr>
  </w:style>
  <w:style w:type="paragraph" w:customStyle="1" w:styleId="no20">
    <w:name w:val="no2"/>
    <w:basedOn w:val="Normal"/>
    <w:pPr>
      <w:tabs>
        <w:tab w:val="num" w:pos="360"/>
      </w:tabs>
      <w:suppressAutoHyphens/>
      <w:spacing w:after="240" w:line="1" w:lineRule="atLeast"/>
      <w:ind w:leftChars="-1" w:left="-1" w:hangingChars="1" w:hanging="1"/>
      <w:textDirection w:val="btLr"/>
      <w:textAlignment w:val="top"/>
      <w:outlineLvl w:val="0"/>
    </w:pPr>
    <w:rPr>
      <w:rFonts w:eastAsia="Calibri"/>
      <w:position w:val="-1"/>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uppressAutoHyphens/>
      <w:spacing w:line="1" w:lineRule="atLeast"/>
      <w:ind w:leftChars="-1" w:left="-1" w:hangingChars="1" w:hanging="1"/>
      <w:textDirection w:val="btLr"/>
      <w:textAlignment w:val="top"/>
      <w:outlineLvl w:val="0"/>
    </w:pPr>
    <w:rPr>
      <w:position w:val="-1"/>
      <w:sz w:val="20"/>
      <w:lang w:eastAsia="en-US"/>
    </w:rPr>
  </w:style>
  <w:style w:type="paragraph" w:styleId="CommentSubject">
    <w:name w:val="annotation subject"/>
    <w:basedOn w:val="CommentText"/>
    <w:next w:val="CommentText"/>
    <w:rPr>
      <w:b/>
      <w:bCs/>
    </w:rPr>
  </w:style>
  <w:style w:type="paragraph" w:styleId="DocumentMap">
    <w:name w:val="Document Map"/>
    <w:basedOn w:val="Normal"/>
    <w:pPr>
      <w:shd w:val="clear" w:color="auto" w:fill="000080"/>
      <w:suppressAutoHyphens/>
      <w:spacing w:line="1" w:lineRule="atLeast"/>
      <w:ind w:leftChars="-1" w:left="-1" w:hangingChars="1" w:hanging="1"/>
      <w:textDirection w:val="btLr"/>
      <w:textAlignment w:val="top"/>
      <w:outlineLvl w:val="0"/>
    </w:pPr>
    <w:rPr>
      <w:rFonts w:ascii="Tahoma" w:hAnsi="Tahoma" w:cs="Tahoma"/>
      <w:position w:val="-1"/>
      <w:sz w:val="20"/>
      <w:lang w:eastAsia="en-US"/>
    </w:rPr>
  </w:style>
  <w:style w:type="character" w:customStyle="1" w:styleId="No1Char">
    <w:name w:val="No.1 Char"/>
    <w:rPr>
      <w:rFonts w:ascii="Arial" w:hAnsi="Arial"/>
      <w:shadow/>
      <w:color w:val="000080"/>
      <w:w w:val="100"/>
      <w:position w:val="-1"/>
      <w:sz w:val="26"/>
      <w:effect w:val="none"/>
      <w:vertAlign w:val="baseline"/>
      <w:cs w:val="0"/>
      <w:em w:val="none"/>
      <w:lang w:val="en-GB" w:eastAsia="en-US" w:bidi="ar-SA"/>
    </w:rPr>
  </w:style>
  <w:style w:type="character" w:customStyle="1" w:styleId="HeaderChar">
    <w:name w:val="Header Char"/>
    <w:rPr>
      <w:rFonts w:ascii="Arial" w:hAnsi="Arial"/>
      <w:w w:val="100"/>
      <w:position w:val="-1"/>
      <w:sz w:val="22"/>
      <w:effect w:val="none"/>
      <w:vertAlign w:val="baseline"/>
      <w:cs w:val="0"/>
      <w:em w:val="none"/>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wfkVkwzVrPbPTghw379n0yxHA==">CgMxLjA4AHIhMUlFLVdzVzIxbk9sNk4xWGhMbVBHZ3dlWFc5YzZmR19q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2455</Words>
  <Characters>13996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ICTServices</dc:creator>
  <cp:lastModifiedBy>Staff</cp:lastModifiedBy>
  <cp:revision>2</cp:revision>
  <dcterms:created xsi:type="dcterms:W3CDTF">2026-05-12T13:49:00Z</dcterms:created>
  <dcterms:modified xsi:type="dcterms:W3CDTF">2026-05-12T13:49:00Z</dcterms:modified>
</cp:coreProperties>
</file>